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A77C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50E59D2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6BE469A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2536DA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2ECBB44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32118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AED546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6E7393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72B270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C1A71F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C8A2DB0">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安徽滁州技师学院门户网站改版建设项目</w:t>
      </w:r>
    </w:p>
    <w:p w14:paraId="5E1793AC">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滁州市机电工程学校</w:t>
      </w:r>
    </w:p>
    <w:p w14:paraId="7989AD61">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安徽品质工程咨询有限公司</w:t>
      </w:r>
    </w:p>
    <w:p w14:paraId="61ADCF5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C8B6226">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2024</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12</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7CFC9967">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F937FE8">
      <w:pPr>
        <w:pStyle w:val="19"/>
        <w:tabs>
          <w:tab w:val="right" w:leader="dot" w:pos="8306"/>
        </w:tabs>
        <w:rPr>
          <w:color w:val="auto"/>
          <w:sz w:val="28"/>
          <w:szCs w:val="28"/>
          <w:highlight w:val="none"/>
        </w:rPr>
      </w:pPr>
      <w:r>
        <w:rPr>
          <w:rFonts w:asciiTheme="minorEastAsia" w:hAnsiTheme="minorEastAsia"/>
          <w:b/>
          <w:color w:val="auto"/>
          <w:sz w:val="28"/>
          <w:szCs w:val="28"/>
          <w:highlight w:val="none"/>
        </w:rPr>
        <w:fldChar w:fldCharType="begin"/>
      </w:r>
      <w:r>
        <w:rPr>
          <w:rFonts w:asciiTheme="minorEastAsia" w:hAnsiTheme="minorEastAsia"/>
          <w:b/>
          <w:color w:val="auto"/>
          <w:sz w:val="28"/>
          <w:szCs w:val="28"/>
          <w:highlight w:val="none"/>
        </w:rPr>
        <w:instrText xml:space="preserve"> </w:instrText>
      </w:r>
      <w:r>
        <w:rPr>
          <w:rFonts w:hint="eastAsia" w:asciiTheme="minorEastAsia" w:hAnsiTheme="minorEastAsia"/>
          <w:b/>
          <w:color w:val="auto"/>
          <w:sz w:val="28"/>
          <w:szCs w:val="28"/>
          <w:highlight w:val="none"/>
        </w:rPr>
        <w:instrText xml:space="preserve">TOC \o "1-2" \h \z \u</w:instrText>
      </w:r>
      <w:r>
        <w:rPr>
          <w:rFonts w:asciiTheme="minorEastAsia" w:hAnsiTheme="minorEastAsia"/>
          <w:b/>
          <w:color w:val="auto"/>
          <w:sz w:val="28"/>
          <w:szCs w:val="28"/>
          <w:highlight w:val="none"/>
        </w:rPr>
        <w:instrText xml:space="preserve"> </w:instrText>
      </w:r>
      <w:r>
        <w:rPr>
          <w:rFonts w:asciiTheme="minorEastAsia" w:hAnsiTheme="minorEastAsia"/>
          <w:b/>
          <w:color w:val="auto"/>
          <w:sz w:val="28"/>
          <w:szCs w:val="28"/>
          <w:highlight w:val="none"/>
        </w:rPr>
        <w:fldChar w:fldCharType="separate"/>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_Toc32331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第一章 </w:t>
      </w:r>
      <w:r>
        <w:rPr>
          <w:rFonts w:asciiTheme="minorEastAsia" w:hAnsiTheme="minorEastAsia" w:eastAsiaTheme="minorEastAsia"/>
          <w:color w:val="auto"/>
          <w:sz w:val="28"/>
          <w:szCs w:val="28"/>
          <w:highlight w:val="none"/>
        </w:rPr>
        <w:t xml:space="preserve">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_Toc32331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379E98E">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_Toc8888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第二章</w:t>
      </w:r>
      <w:r>
        <w:rPr>
          <w:rFonts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_Toc8888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1A0C95CC">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_Toc22605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lang w:eastAsia="zh-CN"/>
        </w:rPr>
        <w:t xml:space="preserve">第三章 </w:t>
      </w:r>
      <w:r>
        <w:rPr>
          <w:rFonts w:hint="eastAsia" w:asciiTheme="minorEastAsia" w:hAnsi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_Toc22605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583C0462">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_Toc30824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第四章  评标方法和标准（综合评分法）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_Toc30824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763B823A">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_Toc20405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第五章  </w:t>
      </w:r>
      <w:r>
        <w:rPr>
          <w:rFonts w:asciiTheme="minorEastAsia" w:hAnsiTheme="minorEastAsia" w:eastAsiaTheme="minorEastAsia"/>
          <w:color w:val="auto"/>
          <w:sz w:val="28"/>
          <w:szCs w:val="28"/>
          <w:highlight w:val="none"/>
        </w:rPr>
        <w:t>政府采购合同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_Toc20405 \h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3736D18C">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_Toc13555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_Toc13555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4148C59F">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_Toc20819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w:t>
      </w:r>
      <w:r>
        <w:rPr>
          <w:rFonts w:hint="eastAsia" w:asciiTheme="minorEastAsia" w:hAnsiTheme="minorEastAsia" w:eastAsiaTheme="minorEastAsia"/>
          <w:color w:val="auto"/>
          <w:sz w:val="28"/>
          <w:szCs w:val="28"/>
          <w:highlight w:val="none"/>
          <w:lang w:val="en-US" w:eastAsia="zh-CN"/>
        </w:rPr>
        <w:t>七</w:t>
      </w:r>
      <w:r>
        <w:rPr>
          <w:rFonts w:hint="eastAsia" w:asciiTheme="minorEastAsia" w:hAnsiTheme="minorEastAsia" w:eastAsiaTheme="minorEastAsia"/>
          <w:color w:val="auto"/>
          <w:sz w:val="28"/>
          <w:szCs w:val="28"/>
          <w:highlight w:val="none"/>
        </w:rPr>
        <w:t>章</w:t>
      </w:r>
      <w:r>
        <w:rPr>
          <w:rFonts w:hint="eastAsia" w:ascii="宋体" w:hAnsi="宋体" w:eastAsia="宋体"/>
          <w:bCs/>
          <w:color w:val="auto"/>
          <w:sz w:val="28"/>
          <w:szCs w:val="28"/>
          <w:highlight w:val="none"/>
        </w:rPr>
        <w:t xml:space="preserve">  政府采购</w:t>
      </w:r>
      <w:r>
        <w:rPr>
          <w:rFonts w:hint="eastAsia" w:asciiTheme="minorEastAsia" w:hAnsiTheme="minorEastAsia" w:eastAsiaTheme="minorEastAsia"/>
          <w:color w:val="auto"/>
          <w:sz w:val="28"/>
          <w:szCs w:val="28"/>
          <w:highlight w:val="none"/>
        </w:rPr>
        <w:t>供应</w:t>
      </w:r>
      <w:r>
        <w:rPr>
          <w:rFonts w:hint="eastAsia" w:ascii="宋体" w:hAnsi="宋体" w:eastAsia="宋体"/>
          <w:bCs/>
          <w:color w:val="auto"/>
          <w:sz w:val="28"/>
          <w:szCs w:val="28"/>
          <w:highlight w:val="none"/>
        </w:rPr>
        <w:t>商询问函和质疑函范本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_Toc20819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68BF7833">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 w:val="28"/>
          <w:szCs w:val="28"/>
          <w:highlight w:val="none"/>
        </w:rPr>
        <w:fldChar w:fldCharType="end"/>
      </w:r>
    </w:p>
    <w:p w14:paraId="74DDB349">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0CC1403">
      <w:pPr>
        <w:spacing w:line="360" w:lineRule="auto"/>
        <w:jc w:val="center"/>
        <w:outlineLvl w:val="0"/>
        <w:rPr>
          <w:rFonts w:asciiTheme="minorEastAsia" w:hAnsiTheme="minorEastAsia" w:eastAsiaTheme="minorEastAsia"/>
          <w:b/>
          <w:color w:val="auto"/>
          <w:sz w:val="28"/>
          <w:highlight w:val="none"/>
        </w:rPr>
      </w:pPr>
      <w:bookmarkStart w:id="1" w:name="_Toc3233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1A655795">
      <w:pPr>
        <w:spacing w:line="360" w:lineRule="auto"/>
        <w:ind w:firstLine="435"/>
        <w:rPr>
          <w:rFonts w:hint="eastAsia" w:ascii="宋体" w:hAnsi="宋体" w:eastAsia="宋体"/>
          <w:color w:val="auto"/>
          <w:sz w:val="24"/>
          <w:highlight w:val="none"/>
        </w:rPr>
      </w:pPr>
      <w:bookmarkStart w:id="2" w:name="_Toc8888"/>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安徽滁州技师学院门户网站改版建设项目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滁州市机电工程学校官网（http://www.cztc.edu.cn/）</w:t>
      </w:r>
      <w:r>
        <w:rPr>
          <w:rFonts w:hint="eastAsia" w:ascii="宋体" w:hAnsi="宋体" w:eastAsia="宋体"/>
          <w:color w:val="auto"/>
          <w:sz w:val="24"/>
          <w:highlight w:val="none"/>
        </w:rPr>
        <w:t>获取招标文件</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12</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12</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9</w:t>
      </w:r>
      <w:r>
        <w:rPr>
          <w:rFonts w:hint="eastAsia" w:ascii="宋体" w:hAnsi="宋体" w:eastAsia="宋体"/>
          <w:color w:val="auto"/>
          <w:sz w:val="24"/>
          <w:highlight w:val="none"/>
          <w:u w:val="single"/>
        </w:rPr>
        <w:t>点00分</w:t>
      </w:r>
      <w:r>
        <w:rPr>
          <w:rFonts w:hint="eastAsia" w:ascii="宋体" w:hAnsi="宋体" w:eastAsia="宋体"/>
          <w:color w:val="auto"/>
          <w:sz w:val="24"/>
          <w:highlight w:val="none"/>
        </w:rPr>
        <w:t>（北京时间）前递交投标文件。</w:t>
      </w:r>
    </w:p>
    <w:p w14:paraId="5B2774EC">
      <w:pPr>
        <w:spacing w:line="360" w:lineRule="auto"/>
        <w:outlineLvl w:val="1"/>
        <w:rPr>
          <w:rFonts w:hint="eastAsia" w:ascii="宋体" w:hAnsi="宋体" w:eastAsia="宋体"/>
          <w:b/>
          <w:bCs/>
          <w:color w:val="auto"/>
          <w:sz w:val="24"/>
          <w:szCs w:val="18"/>
          <w:highlight w:val="none"/>
        </w:rPr>
      </w:pPr>
      <w:bookmarkStart w:id="3" w:name="_Toc1381"/>
      <w:bookmarkStart w:id="4" w:name="_Toc5842"/>
      <w:r>
        <w:rPr>
          <w:rFonts w:hint="eastAsia" w:ascii="宋体" w:hAnsi="宋体" w:eastAsia="宋体"/>
          <w:b/>
          <w:bCs/>
          <w:color w:val="auto"/>
          <w:sz w:val="24"/>
          <w:szCs w:val="18"/>
          <w:highlight w:val="none"/>
        </w:rPr>
        <w:t>一、</w:t>
      </w:r>
      <w:bookmarkEnd w:id="3"/>
      <w:r>
        <w:rPr>
          <w:rFonts w:hint="eastAsia" w:ascii="宋体" w:hAnsi="宋体" w:eastAsia="宋体"/>
          <w:b/>
          <w:bCs/>
          <w:color w:val="auto"/>
          <w:sz w:val="24"/>
          <w:szCs w:val="18"/>
          <w:highlight w:val="none"/>
        </w:rPr>
        <w:t>项目基本情况</w:t>
      </w:r>
      <w:bookmarkEnd w:id="4"/>
    </w:p>
    <w:p w14:paraId="6501E78C">
      <w:pPr>
        <w:spacing w:line="360" w:lineRule="auto"/>
        <w:ind w:firstLine="240" w:firstLineChars="100"/>
        <w:jc w:val="left"/>
        <w:rPr>
          <w:rFonts w:hint="eastAsia" w:ascii="宋体" w:hAnsi="宋体" w:eastAsia="宋体"/>
          <w:color w:val="auto"/>
          <w:sz w:val="24"/>
          <w:highlight w:val="none"/>
          <w:u w:val="none"/>
          <w:lang w:val="en-US" w:eastAsia="zh-CN"/>
        </w:rPr>
      </w:pPr>
      <w:r>
        <w:rPr>
          <w:rFonts w:hint="eastAsia" w:ascii="宋体" w:hAnsi="宋体" w:eastAsia="宋体"/>
          <w:color w:val="auto"/>
          <w:sz w:val="24"/>
          <w:highlight w:val="none"/>
          <w:u w:val="none"/>
          <w:lang w:val="en-US" w:eastAsia="zh-CN"/>
        </w:rPr>
        <w:t>项目名称：安徽滁州技师学院门户网站改版建设项目</w:t>
      </w:r>
    </w:p>
    <w:p w14:paraId="2B02D3C0">
      <w:pPr>
        <w:spacing w:line="360" w:lineRule="auto"/>
        <w:ind w:firstLine="240" w:firstLineChars="100"/>
        <w:jc w:val="left"/>
        <w:rPr>
          <w:rFonts w:hint="eastAsia" w:ascii="宋体" w:hAnsi="宋体" w:eastAsia="宋体"/>
          <w:color w:val="auto"/>
          <w:sz w:val="24"/>
          <w:highlight w:val="none"/>
          <w:u w:val="none"/>
        </w:rPr>
      </w:pPr>
      <w:r>
        <w:rPr>
          <w:rFonts w:hint="eastAsia" w:ascii="宋体" w:hAnsi="宋体" w:eastAsia="宋体"/>
          <w:color w:val="auto"/>
          <w:sz w:val="24"/>
          <w:highlight w:val="none"/>
          <w:u w:val="none"/>
        </w:rPr>
        <w:t>预算金额：</w:t>
      </w:r>
      <w:r>
        <w:rPr>
          <w:rFonts w:hint="eastAsia" w:ascii="宋体" w:hAnsi="宋体" w:eastAsia="宋体"/>
          <w:color w:val="auto"/>
          <w:sz w:val="24"/>
          <w:highlight w:val="none"/>
          <w:u w:val="none"/>
          <w:lang w:val="en-US" w:eastAsia="zh-CN"/>
        </w:rPr>
        <w:t>25万元</w:t>
      </w:r>
    </w:p>
    <w:p w14:paraId="4F2D55F0">
      <w:pPr>
        <w:spacing w:line="360" w:lineRule="auto"/>
        <w:ind w:firstLine="240" w:firstLineChars="100"/>
        <w:jc w:val="left"/>
        <w:rPr>
          <w:rFonts w:hint="eastAsia" w:ascii="宋体" w:hAnsi="宋体" w:eastAsia="宋体"/>
          <w:color w:val="auto"/>
          <w:sz w:val="24"/>
          <w:highlight w:val="none"/>
          <w:u w:val="none"/>
          <w:lang w:val="en-US" w:eastAsia="zh-CN"/>
        </w:rPr>
      </w:pPr>
      <w:r>
        <w:rPr>
          <w:rFonts w:hint="eastAsia" w:ascii="宋体" w:hAnsi="宋体" w:eastAsia="宋体"/>
          <w:color w:val="auto"/>
          <w:sz w:val="24"/>
          <w:highlight w:val="none"/>
          <w:u w:val="none"/>
        </w:rPr>
        <w:t>最高限价：</w:t>
      </w:r>
      <w:r>
        <w:rPr>
          <w:rFonts w:hint="eastAsia" w:ascii="宋体" w:hAnsi="宋体" w:eastAsia="宋体"/>
          <w:color w:val="auto"/>
          <w:sz w:val="24"/>
          <w:highlight w:val="none"/>
          <w:u w:val="none"/>
          <w:lang w:val="en-US" w:eastAsia="zh-CN"/>
        </w:rPr>
        <w:t>25万元，高于最高限价其投标文件按无效投标处理。</w:t>
      </w:r>
    </w:p>
    <w:p w14:paraId="144E45DD">
      <w:pPr>
        <w:spacing w:line="360" w:lineRule="auto"/>
        <w:ind w:firstLine="240" w:firstLineChars="100"/>
        <w:jc w:val="left"/>
        <w:rPr>
          <w:rFonts w:hint="eastAsia" w:ascii="宋体" w:hAnsi="宋体" w:eastAsia="宋体"/>
          <w:color w:val="auto"/>
          <w:sz w:val="24"/>
          <w:highlight w:val="none"/>
          <w:u w:val="none"/>
          <w:lang w:val="en-US" w:eastAsia="zh-CN"/>
        </w:rPr>
      </w:pPr>
      <w:r>
        <w:rPr>
          <w:rFonts w:hint="eastAsia" w:ascii="宋体" w:hAnsi="宋体" w:eastAsia="宋体"/>
          <w:color w:val="auto"/>
          <w:sz w:val="24"/>
          <w:highlight w:val="none"/>
          <w:u w:val="none"/>
        </w:rPr>
        <w:t>采购需求：安徽滁州技师学院门户网站改版建设项目</w:t>
      </w:r>
      <w:r>
        <w:rPr>
          <w:rFonts w:hint="eastAsia" w:ascii="宋体" w:hAnsi="宋体" w:eastAsia="宋体"/>
          <w:color w:val="auto"/>
          <w:sz w:val="24"/>
          <w:highlight w:val="none"/>
          <w:u w:val="none"/>
          <w:lang w:eastAsia="zh-CN"/>
        </w:rPr>
        <w:t>。</w:t>
      </w:r>
    </w:p>
    <w:p w14:paraId="0666849D">
      <w:pPr>
        <w:spacing w:line="360" w:lineRule="auto"/>
        <w:ind w:firstLine="240" w:firstLineChars="100"/>
        <w:jc w:val="left"/>
        <w:rPr>
          <w:rFonts w:hint="default" w:ascii="宋体" w:hAnsi="宋体" w:eastAsia="宋体"/>
          <w:color w:val="auto"/>
          <w:sz w:val="24"/>
          <w:highlight w:val="none"/>
          <w:u w:val="none"/>
          <w:lang w:val="en-US"/>
        </w:rPr>
      </w:pPr>
      <w:r>
        <w:rPr>
          <w:rFonts w:hint="eastAsia" w:ascii="宋体" w:hAnsi="宋体" w:eastAsia="宋体"/>
          <w:color w:val="auto"/>
          <w:sz w:val="24"/>
          <w:highlight w:val="none"/>
          <w:u w:val="none"/>
        </w:rPr>
        <w:t>合同履行期限：</w:t>
      </w:r>
      <w:r>
        <w:rPr>
          <w:rFonts w:hint="eastAsia" w:ascii="宋体" w:hAnsi="宋体" w:eastAsia="宋体"/>
          <w:color w:val="auto"/>
          <w:sz w:val="24"/>
          <w:highlight w:val="none"/>
          <w:u w:val="none"/>
          <w:lang w:val="en-US" w:eastAsia="zh-CN"/>
        </w:rPr>
        <w:t>合同签订后50个日历天内完成项目全部内容。</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outlineLvl w:val="1"/>
        <w:rPr>
          <w:rFonts w:hint="eastAsia" w:ascii="宋体" w:hAnsi="宋体" w:eastAsia="宋体"/>
          <w:b/>
          <w:bCs/>
          <w:color w:val="auto"/>
          <w:sz w:val="24"/>
          <w:szCs w:val="18"/>
          <w:highlight w:val="none"/>
        </w:rPr>
      </w:pPr>
      <w:bookmarkStart w:id="5" w:name="_Toc13530"/>
      <w:bookmarkStart w:id="6"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bookmarkStart w:id="209" w:name="_GoBack"/>
      <w:bookmarkEnd w:id="209"/>
    </w:p>
    <w:p w14:paraId="34ABF26C">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1.供应商须具在中华人民共和国境内注册有独立承担民事责任的能力，并且具有有效的营业执照；</w:t>
      </w:r>
    </w:p>
    <w:p w14:paraId="62EF93EF">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2.信誉要求：供应商不得存在以下情形：</w:t>
      </w:r>
    </w:p>
    <w:p w14:paraId="6C3A02E9">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①供应商被人民法院列入失信被执行人的；</w:t>
      </w:r>
    </w:p>
    <w:p w14:paraId="4D38C5A1">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②供应商或其法定代表人或拟派项目经理（项目负责人）前三年有行贿犯罪行为的；</w:t>
      </w:r>
    </w:p>
    <w:p w14:paraId="22B753C2">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③供应商被市场监督管理部门列入经营异常名录或者严重违法企业名单的，且未被移除的；</w:t>
      </w:r>
    </w:p>
    <w:p w14:paraId="7BB53986">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④供应商被税收部门列入重大税收违法案件当事人的；</w:t>
      </w:r>
    </w:p>
    <w:p w14:paraId="3AE06746">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⑤供应商被采购监管部门列入采购严重违法失信行为记录名单的；</w:t>
      </w:r>
    </w:p>
    <w:p w14:paraId="097E4CBE">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⑥在“信用中国”网站上披露仍在公示期的严重失信行为的。</w:t>
      </w:r>
    </w:p>
    <w:p w14:paraId="77F9AD85">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3.投标人所属分公司、办事处等分支机构存在第2款信誉要求①-⑥项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2、3 条按照“关于联合惩戒失信行为加强信用查询管理的通知”查询或承诺。</w:t>
      </w:r>
    </w:p>
    <w:p w14:paraId="2F0ADDD5">
      <w:pPr>
        <w:spacing w:line="360" w:lineRule="auto"/>
        <w:outlineLvl w:val="1"/>
        <w:rPr>
          <w:rFonts w:hint="eastAsia" w:ascii="宋体" w:hAnsi="宋体" w:eastAsia="宋体"/>
          <w:b/>
          <w:bCs/>
          <w:color w:val="auto"/>
          <w:sz w:val="24"/>
          <w:szCs w:val="18"/>
          <w:highlight w:val="none"/>
        </w:rPr>
      </w:pPr>
      <w:bookmarkStart w:id="7" w:name="_Toc30110"/>
      <w:bookmarkStart w:id="8" w:name="_Toc32089"/>
      <w:r>
        <w:rPr>
          <w:rFonts w:hint="eastAsia" w:ascii="宋体" w:hAnsi="宋体" w:eastAsia="宋体"/>
          <w:b/>
          <w:bCs/>
          <w:color w:val="auto"/>
          <w:sz w:val="24"/>
          <w:szCs w:val="18"/>
          <w:highlight w:val="none"/>
        </w:rPr>
        <w:t>三、</w:t>
      </w:r>
      <w:bookmarkEnd w:id="7"/>
      <w:r>
        <w:rPr>
          <w:rFonts w:hint="eastAsia" w:ascii="宋体" w:hAnsi="宋体" w:eastAsia="宋体"/>
          <w:b/>
          <w:bCs/>
          <w:color w:val="auto"/>
          <w:sz w:val="24"/>
          <w:szCs w:val="18"/>
          <w:highlight w:val="none"/>
        </w:rPr>
        <w:t>获取招标文件</w:t>
      </w:r>
      <w:bookmarkEnd w:id="8"/>
    </w:p>
    <w:p w14:paraId="4CFCF87F">
      <w:pPr>
        <w:spacing w:line="360" w:lineRule="auto"/>
        <w:ind w:firstLine="540"/>
        <w:rPr>
          <w:rFonts w:hint="eastAsia" w:ascii="宋体" w:hAnsi="宋体" w:eastAsia="宋体" w:cs="宋体"/>
          <w:i/>
          <w:iCs/>
          <w:color w:val="auto"/>
          <w:sz w:val="24"/>
          <w:szCs w:val="24"/>
          <w:highlight w:val="none"/>
          <w:u w:val="none"/>
        </w:rPr>
      </w:pPr>
      <w:bookmarkStart w:id="9" w:name="_Toc7957"/>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olor w:val="auto"/>
          <w:sz w:val="24"/>
          <w:szCs w:val="18"/>
          <w:highlight w:val="none"/>
          <w:u w:val="none"/>
          <w:lang w:val="en-US" w:eastAsia="zh-CN"/>
        </w:rPr>
      </w:pPr>
      <w:r>
        <w:rPr>
          <w:rFonts w:hint="eastAsia" w:ascii="宋体" w:hAnsi="宋体" w:eastAsia="宋体" w:cs="宋体"/>
          <w:color w:val="auto"/>
          <w:sz w:val="24"/>
          <w:szCs w:val="24"/>
          <w:highlight w:val="none"/>
          <w:u w:val="none"/>
        </w:rPr>
        <w:t>地点：</w:t>
      </w:r>
      <w:r>
        <w:rPr>
          <w:rFonts w:hint="eastAsia" w:ascii="宋体" w:hAnsi="宋体" w:eastAsia="宋体"/>
          <w:color w:val="auto"/>
          <w:sz w:val="24"/>
          <w:szCs w:val="18"/>
          <w:highlight w:val="none"/>
          <w:u w:val="none"/>
          <w:lang w:val="en-US" w:eastAsia="zh-CN"/>
        </w:rPr>
        <w:t>滁州市机电工程学校官网</w:t>
      </w:r>
    </w:p>
    <w:p w14:paraId="56FB2AAB">
      <w:pPr>
        <w:spacing w:line="360" w:lineRule="auto"/>
        <w:ind w:firstLine="54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方式：</w:t>
      </w:r>
      <w:r>
        <w:rPr>
          <w:rFonts w:hint="eastAsia" w:ascii="宋体" w:hAnsi="宋体" w:eastAsia="宋体" w:cs="宋体"/>
          <w:color w:val="auto"/>
          <w:sz w:val="24"/>
          <w:szCs w:val="24"/>
          <w:highlight w:val="none"/>
          <w:u w:val="non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0" w:name="_Toc19726"/>
      <w:r>
        <w:rPr>
          <w:rFonts w:hint="eastAsia" w:ascii="宋体" w:hAnsi="宋体" w:eastAsia="宋体"/>
          <w:b/>
          <w:bCs/>
          <w:color w:val="auto"/>
          <w:sz w:val="24"/>
          <w:szCs w:val="18"/>
          <w:highlight w:val="none"/>
        </w:rPr>
        <w:t>四、</w:t>
      </w:r>
      <w:bookmarkEnd w:id="9"/>
      <w:r>
        <w:rPr>
          <w:rFonts w:hint="eastAsia" w:ascii="宋体" w:hAnsi="宋体" w:eastAsia="宋体"/>
          <w:b/>
          <w:bCs/>
          <w:color w:val="auto"/>
          <w:sz w:val="24"/>
          <w:szCs w:val="18"/>
          <w:highlight w:val="none"/>
        </w:rPr>
        <w:t>开标时间和地点</w:t>
      </w:r>
      <w:bookmarkEnd w:id="10"/>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u w:val="none"/>
        </w:rPr>
      </w:pPr>
      <w:bookmarkStart w:id="11" w:name="_Toc5082"/>
      <w:r>
        <w:rPr>
          <w:rFonts w:hint="eastAsia" w:ascii="宋体" w:hAnsi="宋体" w:eastAsia="宋体" w:cs="宋体"/>
          <w:i w:val="0"/>
          <w:iCs w:val="0"/>
          <w:caps w:val="0"/>
          <w:color w:val="auto"/>
          <w:spacing w:val="0"/>
          <w:sz w:val="24"/>
          <w:szCs w:val="24"/>
          <w:highlight w:val="none"/>
          <w:shd w:val="clear" w:color="auto" w:fill="FFFFFF"/>
          <w:lang w:val="en-US" w:eastAsia="zh-CN"/>
        </w:rPr>
        <w:t>开标</w:t>
      </w:r>
      <w:r>
        <w:rPr>
          <w:rFonts w:hint="eastAsia" w:ascii="宋体" w:hAnsi="宋体" w:eastAsia="宋体" w:cs="宋体"/>
          <w:i w:val="0"/>
          <w:iCs w:val="0"/>
          <w:caps w:val="0"/>
          <w:color w:val="auto"/>
          <w:spacing w:val="0"/>
          <w:sz w:val="24"/>
          <w:szCs w:val="24"/>
          <w:highlight w:val="none"/>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bCs/>
          <w:color w:val="auto"/>
          <w:sz w:val="24"/>
          <w:szCs w:val="24"/>
          <w:highlight w:val="none"/>
          <w:u w:val="none"/>
          <w:lang w:val="en-US" w:eastAsia="zh-CN"/>
        </w:rPr>
        <w:t>2024</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12</w:t>
      </w:r>
      <w:r>
        <w:rPr>
          <w:rFonts w:hint="eastAsia" w:ascii="宋体" w:hAnsi="宋体" w:eastAsia="宋体" w:cs="宋体"/>
          <w:bCs/>
          <w:color w:val="auto"/>
          <w:sz w:val="24"/>
          <w:szCs w:val="24"/>
          <w:highlight w:val="none"/>
          <w:u w:val="none"/>
        </w:rPr>
        <w:t>月</w:t>
      </w:r>
      <w:r>
        <w:rPr>
          <w:rFonts w:hint="eastAsia" w:ascii="宋体" w:hAnsi="宋体" w:eastAsia="宋体" w:cs="宋体"/>
          <w:bCs/>
          <w:color w:val="auto"/>
          <w:sz w:val="24"/>
          <w:szCs w:val="24"/>
          <w:highlight w:val="none"/>
          <w:u w:val="none"/>
          <w:lang w:val="en-US" w:eastAsia="zh-CN"/>
        </w:rPr>
        <w:t>12</w:t>
      </w:r>
      <w:r>
        <w:rPr>
          <w:rFonts w:hint="eastAsia" w:ascii="宋体" w:hAnsi="宋体" w:eastAsia="宋体" w:cs="宋体"/>
          <w:bCs/>
          <w:color w:val="auto"/>
          <w:sz w:val="24"/>
          <w:szCs w:val="24"/>
          <w:highlight w:val="none"/>
          <w:u w:val="none"/>
        </w:rPr>
        <w:t>日</w:t>
      </w:r>
      <w:r>
        <w:rPr>
          <w:rFonts w:hint="eastAsia" w:ascii="宋体" w:hAnsi="宋体" w:eastAsia="宋体" w:cs="宋体"/>
          <w:bCs/>
          <w:color w:val="auto"/>
          <w:sz w:val="24"/>
          <w:szCs w:val="24"/>
          <w:highlight w:val="none"/>
          <w:u w:val="none"/>
          <w:lang w:val="en-US" w:eastAsia="zh-CN"/>
        </w:rPr>
        <w:t>9</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rPr>
        <w:t>地点：滁州市机电工程学校综合楼2楼会议室</w:t>
      </w:r>
      <w:r>
        <w:rPr>
          <w:rFonts w:hint="eastAsia" w:ascii="宋体" w:hAnsi="宋体" w:eastAsia="宋体"/>
          <w:b w:val="0"/>
          <w:bCs w:val="0"/>
          <w:color w:val="auto"/>
          <w:sz w:val="24"/>
          <w:szCs w:val="18"/>
          <w:highlight w:val="none"/>
          <w:lang w:eastAsia="zh-CN"/>
        </w:rPr>
        <w:t>（</w:t>
      </w:r>
      <w:r>
        <w:rPr>
          <w:rFonts w:hint="eastAsia" w:ascii="宋体" w:hAnsi="宋体" w:eastAsia="宋体"/>
          <w:b w:val="0"/>
          <w:bCs w:val="0"/>
          <w:color w:val="auto"/>
          <w:sz w:val="24"/>
          <w:szCs w:val="18"/>
          <w:highlight w:val="none"/>
        </w:rPr>
        <w:t>安徽省滁州市丰乐大道2238号</w:t>
      </w:r>
      <w:r>
        <w:rPr>
          <w:rFonts w:hint="eastAsia" w:ascii="宋体" w:hAnsi="宋体" w:eastAsia="宋体"/>
          <w:b w:val="0"/>
          <w:bCs w:val="0"/>
          <w:color w:val="auto"/>
          <w:sz w:val="24"/>
          <w:szCs w:val="18"/>
          <w:highlight w:val="none"/>
          <w:lang w:eastAsia="zh-CN"/>
        </w:rPr>
        <w:t>）</w:t>
      </w:r>
    </w:p>
    <w:p w14:paraId="268C345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2" w:name="_Toc28531"/>
      <w:r>
        <w:rPr>
          <w:rFonts w:hint="eastAsia" w:ascii="宋体" w:hAnsi="宋体" w:eastAsia="宋体"/>
          <w:b/>
          <w:bCs/>
          <w:color w:val="auto"/>
          <w:sz w:val="24"/>
          <w:szCs w:val="18"/>
          <w:highlight w:val="none"/>
        </w:rPr>
        <w:t>五、</w:t>
      </w:r>
      <w:bookmarkEnd w:id="11"/>
      <w:r>
        <w:rPr>
          <w:rFonts w:hint="eastAsia" w:ascii="宋体" w:hAnsi="宋体" w:eastAsia="宋体"/>
          <w:b/>
          <w:bCs/>
          <w:color w:val="auto"/>
          <w:sz w:val="24"/>
          <w:szCs w:val="18"/>
          <w:highlight w:val="none"/>
        </w:rPr>
        <w:t>公告期限</w:t>
      </w:r>
      <w:bookmarkEnd w:id="12"/>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3" w:name="_Toc1215"/>
      <w:r>
        <w:rPr>
          <w:rFonts w:hint="eastAsia" w:ascii="宋体" w:hAnsi="宋体" w:eastAsia="宋体"/>
          <w:b w:val="0"/>
          <w:bCs w:val="0"/>
          <w:color w:val="auto"/>
          <w:sz w:val="24"/>
          <w:szCs w:val="18"/>
          <w:highlight w:val="none"/>
        </w:rPr>
        <w:t>自本公告发布之日起5个工作日。</w:t>
      </w:r>
    </w:p>
    <w:p w14:paraId="670F5E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b/>
          <w:bCs/>
          <w:color w:val="auto"/>
          <w:sz w:val="24"/>
          <w:szCs w:val="18"/>
          <w:highlight w:val="none"/>
          <w:lang w:val="en-US" w:eastAsia="zh-CN"/>
        </w:rPr>
      </w:pPr>
      <w:r>
        <w:rPr>
          <w:rFonts w:hint="eastAsia" w:ascii="宋体" w:hAnsi="宋体" w:eastAsia="宋体" w:cs="@仿宋_GB2312"/>
          <w:b/>
          <w:bCs/>
          <w:color w:val="auto"/>
          <w:kern w:val="2"/>
          <w:sz w:val="24"/>
          <w:szCs w:val="18"/>
          <w:highlight w:val="none"/>
          <w:lang w:val="en-US" w:eastAsia="zh-CN" w:bidi="ar-SA"/>
        </w:rPr>
        <w:t>六、</w:t>
      </w:r>
      <w:r>
        <w:rPr>
          <w:rFonts w:hint="eastAsia" w:ascii="宋体" w:hAnsi="宋体" w:eastAsia="宋体"/>
          <w:b/>
          <w:bCs/>
          <w:color w:val="auto"/>
          <w:sz w:val="24"/>
          <w:szCs w:val="18"/>
          <w:highlight w:val="none"/>
          <w:lang w:val="en-US" w:eastAsia="zh-CN"/>
        </w:rPr>
        <w:t>投标保证金</w:t>
      </w:r>
    </w:p>
    <w:p w14:paraId="3390E4C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default" w:ascii="宋体" w:hAnsi="宋体" w:eastAsia="宋体"/>
          <w:b w:val="0"/>
          <w:bCs w:val="0"/>
          <w:color w:val="auto"/>
          <w:sz w:val="24"/>
          <w:szCs w:val="18"/>
          <w:highlight w:val="none"/>
          <w:lang w:val="en-US" w:eastAsia="zh-CN"/>
        </w:rPr>
      </w:pPr>
      <w:r>
        <w:rPr>
          <w:rFonts w:hint="eastAsia" w:ascii="宋体" w:hAnsi="宋体" w:eastAsia="宋体"/>
          <w:b w:val="0"/>
          <w:bCs w:val="0"/>
          <w:color w:val="auto"/>
          <w:sz w:val="24"/>
          <w:szCs w:val="18"/>
          <w:highlight w:val="none"/>
          <w:lang w:val="en-US" w:eastAsia="zh-CN"/>
        </w:rPr>
        <w:t>不要求</w:t>
      </w:r>
    </w:p>
    <w:p w14:paraId="1DCE150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b/>
          <w:bCs/>
          <w:color w:val="auto"/>
          <w:sz w:val="24"/>
          <w:szCs w:val="18"/>
          <w:highlight w:val="none"/>
        </w:rPr>
      </w:pPr>
      <w:bookmarkStart w:id="14" w:name="_Toc8807"/>
      <w:bookmarkStart w:id="15" w:name="_Toc35393795"/>
      <w:bookmarkStart w:id="16" w:name="_Toc35393626"/>
      <w:r>
        <w:rPr>
          <w:rFonts w:hint="eastAsia" w:ascii="宋体" w:hAnsi="宋体" w:eastAsia="宋体"/>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4"/>
      <w:bookmarkEnd w:id="15"/>
      <w:bookmarkEnd w:id="16"/>
    </w:p>
    <w:bookmarkEnd w:id="13"/>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7" w:name="_Toc7265"/>
      <w:bookmarkStart w:id="18" w:name="_Toc3854"/>
      <w:r>
        <w:rPr>
          <w:rFonts w:hint="eastAsia" w:ascii="宋体" w:hAnsi="宋体" w:eastAsia="宋体"/>
          <w:color w:val="auto"/>
          <w:sz w:val="24"/>
          <w:szCs w:val="18"/>
          <w:highlight w:val="none"/>
          <w:lang w:val="en-US" w:eastAsia="zh-CN"/>
        </w:rPr>
        <w:t>无</w:t>
      </w:r>
    </w:p>
    <w:p w14:paraId="52F6A0D7">
      <w:pPr>
        <w:spacing w:line="360" w:lineRule="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lang w:val="en-US" w:eastAsia="zh-CN"/>
        </w:rPr>
        <w:t>八</w:t>
      </w:r>
      <w:r>
        <w:rPr>
          <w:rFonts w:hint="eastAsia" w:ascii="宋体" w:hAnsi="宋体" w:eastAsia="宋体"/>
          <w:b/>
          <w:bCs/>
          <w:color w:val="auto"/>
          <w:sz w:val="24"/>
          <w:szCs w:val="18"/>
          <w:highlight w:val="none"/>
        </w:rPr>
        <w:t>、</w:t>
      </w:r>
      <w:bookmarkEnd w:id="17"/>
      <w:r>
        <w:rPr>
          <w:rFonts w:hint="eastAsia" w:ascii="宋体" w:hAnsi="宋体" w:eastAsia="宋体"/>
          <w:b/>
          <w:bCs/>
          <w:color w:val="auto"/>
          <w:sz w:val="24"/>
          <w:szCs w:val="18"/>
          <w:highlight w:val="none"/>
        </w:rPr>
        <w:t>对本次招标提出询问，请按以下方式联系</w:t>
      </w:r>
      <w:bookmarkEnd w:id="18"/>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CCA4FBF">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auto"/>
          <w:spacing w:val="0"/>
          <w:sz w:val="24"/>
          <w:szCs w:val="24"/>
          <w:highlight w:val="none"/>
          <w:u w:val="single"/>
          <w:shd w:val="clear" w:color="auto" w:fill="FFFFFF"/>
        </w:rPr>
        <w:t>滁州市机电工程学校</w:t>
      </w:r>
    </w:p>
    <w:p w14:paraId="72357814">
      <w:pPr>
        <w:spacing w:line="360" w:lineRule="auto"/>
        <w:ind w:firstLine="435"/>
        <w:rPr>
          <w:rFonts w:hint="eastAsia" w:ascii="宋体" w:hAnsi="宋体" w:eastAsia="宋体" w:cs="宋体"/>
          <w:i w:val="0"/>
          <w:iCs w:val="0"/>
          <w:caps w:val="0"/>
          <w:color w:val="auto"/>
          <w:spacing w:val="0"/>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auto"/>
          <w:spacing w:val="0"/>
          <w:sz w:val="24"/>
          <w:szCs w:val="24"/>
          <w:highlight w:val="none"/>
          <w:u w:val="single"/>
          <w:shd w:val="clear" w:color="auto" w:fill="FFFFFF"/>
        </w:rPr>
        <w:t>安徽省滁州市丰乐大道2238号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施老师</w:t>
      </w:r>
    </w:p>
    <w:p w14:paraId="636452E9">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18755022899</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2F7A42C0">
      <w:pPr>
        <w:spacing w:line="360" w:lineRule="auto"/>
        <w:ind w:firstLine="435"/>
        <w:rPr>
          <w:rFonts w:hint="eastAsia" w:ascii="宋体" w:hAnsi="宋体" w:eastAsia="宋体" w:cs="宋体"/>
          <w:i w:val="0"/>
          <w:iCs w:val="0"/>
          <w:caps w:val="0"/>
          <w:color w:val="auto"/>
          <w:spacing w:val="0"/>
          <w:sz w:val="24"/>
          <w:szCs w:val="24"/>
          <w:highlight w:val="none"/>
          <w:u w:val="single"/>
          <w:shd w:val="clear" w:color="auto" w:fill="FFFFFF"/>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auto"/>
          <w:spacing w:val="0"/>
          <w:sz w:val="24"/>
          <w:szCs w:val="24"/>
          <w:highlight w:val="none"/>
          <w:u w:val="single"/>
          <w:shd w:val="clear" w:color="auto" w:fill="FFFFFF"/>
          <w:lang w:eastAsia="zh-CN"/>
        </w:rPr>
        <w:t>安徽品质工程咨询有限公司</w:t>
      </w:r>
    </w:p>
    <w:p w14:paraId="57287162">
      <w:pPr>
        <w:spacing w:line="360" w:lineRule="auto"/>
        <w:ind w:firstLine="435"/>
        <w:rPr>
          <w:rFonts w:hint="eastAsia" w:ascii="宋体" w:hAnsi="宋体" w:eastAsia="宋体" w:cs="宋体"/>
          <w:i w:val="0"/>
          <w:iCs w:val="0"/>
          <w:caps w:val="0"/>
          <w:color w:val="auto"/>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auto"/>
          <w:spacing w:val="0"/>
          <w:sz w:val="24"/>
          <w:szCs w:val="24"/>
          <w:highlight w:val="none"/>
          <w:u w:val="single"/>
          <w:shd w:val="clear" w:color="auto" w:fill="FFFFFF"/>
          <w:lang w:eastAsia="zh-CN"/>
        </w:rPr>
        <w:t>滁州市南谯区仁和路金鹏壹品苑二楼门面房</w:t>
      </w:r>
    </w:p>
    <w:p w14:paraId="13FE259C">
      <w:pPr>
        <w:spacing w:line="360" w:lineRule="auto"/>
        <w:ind w:firstLine="435"/>
        <w:rPr>
          <w:rFonts w:hint="default" w:ascii="宋体" w:hAnsi="宋体" w:eastAsia="宋体" w:cs="宋体"/>
          <w:i w:val="0"/>
          <w:iCs w:val="0"/>
          <w:caps w:val="0"/>
          <w:color w:val="auto"/>
          <w:spacing w:val="0"/>
          <w:sz w:val="24"/>
          <w:szCs w:val="24"/>
          <w:highlight w:val="none"/>
          <w:u w:val="single"/>
          <w:shd w:val="clear" w:color="auto" w:fill="FFFFFF"/>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auto"/>
          <w:spacing w:val="0"/>
          <w:sz w:val="24"/>
          <w:szCs w:val="24"/>
          <w:highlight w:val="none"/>
          <w:u w:val="single"/>
          <w:shd w:val="clear" w:color="auto" w:fill="FFFFFF"/>
          <w:lang w:eastAsia="zh-CN"/>
        </w:rPr>
        <w:t>韦治帼</w:t>
      </w:r>
    </w:p>
    <w:p w14:paraId="2D4B14C3">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auto"/>
          <w:spacing w:val="0"/>
          <w:sz w:val="24"/>
          <w:szCs w:val="24"/>
          <w:highlight w:val="none"/>
          <w:u w:val="single"/>
          <w:shd w:val="clear" w:color="auto" w:fill="FFFFFF"/>
          <w:lang w:val="en-US" w:eastAsia="zh-CN"/>
        </w:rPr>
        <w:t>18010913400</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11C8EF29">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
    </w:p>
    <w:p w14:paraId="1A8540BD">
      <w:pPr>
        <w:spacing w:line="360" w:lineRule="auto"/>
        <w:jc w:val="center"/>
        <w:outlineLvl w:val="1"/>
        <w:rPr>
          <w:rFonts w:asciiTheme="minorEastAsia" w:hAnsiTheme="minorEastAsia" w:eastAsiaTheme="minorEastAsia"/>
          <w:b/>
          <w:color w:val="auto"/>
          <w:sz w:val="24"/>
          <w:highlight w:val="none"/>
        </w:rPr>
      </w:pPr>
      <w:bookmarkStart w:id="19" w:name="_Toc13589"/>
      <w:bookmarkStart w:id="20"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19"/>
      <w:bookmarkEnd w:id="20"/>
    </w:p>
    <w:p w14:paraId="0B7FDFA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8"/>
        <w:tblW w:w="5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726"/>
        <w:gridCol w:w="6970"/>
      </w:tblGrid>
      <w:tr w14:paraId="342B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04" w:type="pct"/>
            <w:vAlign w:val="center"/>
          </w:tcPr>
          <w:p w14:paraId="73003C5B">
            <w:pPr>
              <w:pStyle w:val="36"/>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892" w:type="pct"/>
            <w:vAlign w:val="center"/>
          </w:tcPr>
          <w:p w14:paraId="2F5EDC1D">
            <w:pPr>
              <w:pStyle w:val="36"/>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603" w:type="pct"/>
            <w:vAlign w:val="center"/>
          </w:tcPr>
          <w:p w14:paraId="278B5D44">
            <w:pPr>
              <w:pStyle w:val="36"/>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D5C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21EC8876">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892" w:type="pct"/>
            <w:vAlign w:val="center"/>
          </w:tcPr>
          <w:p w14:paraId="53E39D8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603" w:type="pct"/>
            <w:vAlign w:val="center"/>
          </w:tcPr>
          <w:p w14:paraId="31D22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val="0"/>
                <w:color w:val="auto"/>
                <w:sz w:val="24"/>
                <w:szCs w:val="20"/>
                <w:highlight w:val="none"/>
              </w:rPr>
            </w:pP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tc>
      </w:tr>
      <w:tr w14:paraId="6A09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pct"/>
            <w:vAlign w:val="center"/>
          </w:tcPr>
          <w:p w14:paraId="02CAD7AC">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892" w:type="pct"/>
            <w:vAlign w:val="center"/>
          </w:tcPr>
          <w:p w14:paraId="2748008B">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投标人提出疑问的截止时间及方式</w:t>
            </w:r>
          </w:p>
        </w:tc>
        <w:tc>
          <w:tcPr>
            <w:tcW w:w="3603" w:type="pct"/>
            <w:vAlign w:val="center"/>
          </w:tcPr>
          <w:p w14:paraId="1C75C311">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lang w:val="en-US"/>
              </w:rPr>
            </w:pPr>
            <w:r>
              <w:rPr>
                <w:rFonts w:hint="eastAsia" w:ascii="宋体" w:hAnsi="宋体" w:eastAsia="宋体" w:cs="@仿宋_GB2312"/>
                <w:b w:val="0"/>
                <w:bCs w:val="0"/>
                <w:color w:val="auto"/>
                <w:kern w:val="2"/>
                <w:sz w:val="24"/>
                <w:szCs w:val="20"/>
                <w:highlight w:val="none"/>
                <w:lang w:val="en-US" w:eastAsia="zh-CN" w:bidi="ar-SA"/>
              </w:rPr>
              <w:t>如投标人对招标文件有疑问，请于2024年12月6日17时前，投标人将所遇到的问题以电子邮件形式传至1225240102@qq.com（邮箱）；</w:t>
            </w:r>
          </w:p>
        </w:tc>
      </w:tr>
      <w:tr w14:paraId="05AD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B13CE2F">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6.2</w:t>
            </w:r>
          </w:p>
        </w:tc>
        <w:tc>
          <w:tcPr>
            <w:tcW w:w="892" w:type="pct"/>
            <w:vAlign w:val="center"/>
          </w:tcPr>
          <w:p w14:paraId="26C9443C">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采购人澄清的时间及方式</w:t>
            </w:r>
          </w:p>
        </w:tc>
        <w:tc>
          <w:tcPr>
            <w:tcW w:w="3603" w:type="pct"/>
            <w:vAlign w:val="center"/>
          </w:tcPr>
          <w:p w14:paraId="4ED20797">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答疑、澄清内容于2024年12月9日17 时前以更正公告形式在滁州市机电工程学校官网以发布更正公告的方式予以公告</w:t>
            </w:r>
            <w:r>
              <w:rPr>
                <w:rFonts w:hint="eastAsia" w:ascii="宋体" w:hAnsi="宋体" w:eastAsia="宋体" w:cs="@仿宋_GB2312"/>
                <w:b w:val="0"/>
                <w:bCs w:val="0"/>
                <w:color w:val="auto"/>
                <w:kern w:val="2"/>
                <w:sz w:val="24"/>
                <w:szCs w:val="20"/>
                <w:highlight w:val="none"/>
                <w:lang w:val="zh-CN" w:eastAsia="zh-CN" w:bidi="ar-SA"/>
              </w:rPr>
              <w:t>。</w:t>
            </w:r>
            <w:r>
              <w:rPr>
                <w:rFonts w:hint="eastAsia" w:ascii="宋体" w:hAnsi="宋体" w:eastAsia="宋体" w:cs="@仿宋_GB2312"/>
                <w:b w:val="0"/>
                <w:bCs w:val="0"/>
                <w:color w:val="auto"/>
                <w:kern w:val="2"/>
                <w:sz w:val="24"/>
                <w:szCs w:val="20"/>
                <w:highlight w:val="none"/>
                <w:lang w:val="en-US" w:eastAsia="zh-CN" w:bidi="ar-SA"/>
              </w:rPr>
              <w:t>请各位投标人注意查看有关澄清内容，如不及时查看造成后果由投标人自负。</w:t>
            </w:r>
          </w:p>
        </w:tc>
      </w:tr>
      <w:tr w14:paraId="70CE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545CFB9">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hint="default" w:ascii="宋体" w:hAnsi="宋体" w:eastAsia="宋体"/>
                <w:bCs/>
                <w:color w:val="auto"/>
                <w:kern w:val="2"/>
                <w:highlight w:val="none"/>
              </w:rPr>
              <w:t>.1</w:t>
            </w:r>
          </w:p>
        </w:tc>
        <w:tc>
          <w:tcPr>
            <w:tcW w:w="892" w:type="pct"/>
            <w:vAlign w:val="center"/>
          </w:tcPr>
          <w:p w14:paraId="14A340C9">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603" w:type="pct"/>
            <w:vAlign w:val="center"/>
          </w:tcPr>
          <w:p w14:paraId="44ADBFC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u w:val="single"/>
              </w:rPr>
            </w:pPr>
            <w:r>
              <w:rPr>
                <w:rFonts w:hint="default" w:ascii="宋体" w:hAnsi="宋体" w:eastAsia="宋体"/>
                <w:b w:val="0"/>
                <w:color w:val="auto"/>
                <w:sz w:val="24"/>
                <w:highlight w:val="none"/>
              </w:rPr>
              <w:t xml:space="preserve">不分包  </w:t>
            </w:r>
          </w:p>
        </w:tc>
      </w:tr>
      <w:tr w14:paraId="5ABF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4" w:type="pct"/>
            <w:vAlign w:val="center"/>
          </w:tcPr>
          <w:p w14:paraId="7F80DD4A">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hint="default" w:ascii="宋体" w:hAnsi="宋体" w:eastAsia="宋体"/>
                <w:bCs/>
                <w:color w:val="auto"/>
                <w:kern w:val="2"/>
                <w:highlight w:val="none"/>
              </w:rPr>
              <w:t>.1</w:t>
            </w:r>
          </w:p>
        </w:tc>
        <w:tc>
          <w:tcPr>
            <w:tcW w:w="892" w:type="pct"/>
            <w:vAlign w:val="center"/>
          </w:tcPr>
          <w:p w14:paraId="6BAEF360">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603" w:type="pct"/>
            <w:vAlign w:val="center"/>
          </w:tcPr>
          <w:p w14:paraId="5EBABE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highlight w:val="none"/>
              </w:rPr>
            </w:pPr>
            <w:r>
              <w:rPr>
                <w:rFonts w:hint="eastAsia" w:ascii="宋体" w:hAnsi="宋体" w:eastAsia="宋体"/>
                <w:bCs/>
                <w:color w:val="auto"/>
                <w:kern w:val="0"/>
                <w:sz w:val="24"/>
                <w:szCs w:val="28"/>
                <w:highlight w:val="none"/>
              </w:rPr>
              <w:t>不收取</w:t>
            </w:r>
          </w:p>
        </w:tc>
      </w:tr>
      <w:tr w14:paraId="51FA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B5296E6">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.1</w:t>
            </w:r>
          </w:p>
        </w:tc>
        <w:tc>
          <w:tcPr>
            <w:tcW w:w="892" w:type="pct"/>
            <w:vAlign w:val="center"/>
          </w:tcPr>
          <w:p w14:paraId="349706D9">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603" w:type="pct"/>
            <w:vAlign w:val="center"/>
          </w:tcPr>
          <w:p w14:paraId="3CB093F0">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rPr>
              <w:t>日历日</w:t>
            </w:r>
          </w:p>
        </w:tc>
      </w:tr>
      <w:tr w14:paraId="3889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29B43306">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12.1</w:t>
            </w:r>
          </w:p>
        </w:tc>
        <w:tc>
          <w:tcPr>
            <w:tcW w:w="892" w:type="pct"/>
            <w:shd w:val="clear" w:color="auto" w:fill="auto"/>
            <w:vAlign w:val="center"/>
          </w:tcPr>
          <w:p w14:paraId="3B5DD6AB">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投标文件份数</w:t>
            </w:r>
          </w:p>
        </w:tc>
        <w:tc>
          <w:tcPr>
            <w:tcW w:w="3603" w:type="pct"/>
            <w:shd w:val="clear" w:color="auto" w:fill="auto"/>
            <w:vAlign w:val="center"/>
          </w:tcPr>
          <w:p w14:paraId="02CDEF2D">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资信证明文件正本1份，副本2份；技术标文件正本1份，副本2份；商务标文件正本1份，副本2份。</w:t>
            </w:r>
          </w:p>
        </w:tc>
      </w:tr>
      <w:tr w14:paraId="015F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0831740">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12.2</w:t>
            </w:r>
          </w:p>
        </w:tc>
        <w:tc>
          <w:tcPr>
            <w:tcW w:w="892" w:type="pct"/>
            <w:vAlign w:val="center"/>
          </w:tcPr>
          <w:p w14:paraId="4AD7145B">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具体密封要求</w:t>
            </w:r>
          </w:p>
        </w:tc>
        <w:tc>
          <w:tcPr>
            <w:tcW w:w="3603" w:type="pct"/>
            <w:vAlign w:val="center"/>
          </w:tcPr>
          <w:p w14:paraId="662A863C">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u w:val="singl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的正本和副本应采用胶装（或订书机装订）方式左侧装订，不得采用活页夹的可随时拆换的方式装订，不得有零散页。投标文件应按照“投标文件格式”的目录次序分别装订，并按资信证明文件、技术标、商务标分别密封。资信证明文件正副本密封于资信证明文件袋内，技术标正副本密封于技标文件袋内，商务标正副本密封于商务文件袋内，否则其投标文件将被拒收。</w:t>
            </w:r>
          </w:p>
        </w:tc>
      </w:tr>
      <w:tr w14:paraId="711C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78C409C8">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12.3</w:t>
            </w:r>
          </w:p>
        </w:tc>
        <w:tc>
          <w:tcPr>
            <w:tcW w:w="892" w:type="pct"/>
            <w:vAlign w:val="center"/>
          </w:tcPr>
          <w:p w14:paraId="68E4F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b w:val="0"/>
                <w:color w:val="auto"/>
                <w:sz w:val="24"/>
                <w:szCs w:val="20"/>
                <w:highlight w:val="none"/>
              </w:rPr>
            </w:pPr>
            <w:r>
              <w:rPr>
                <w:rFonts w:hint="eastAsia" w:ascii="宋体" w:hAnsi="宋体" w:eastAsia="宋体" w:cs="宋体"/>
                <w:color w:val="auto"/>
                <w:sz w:val="24"/>
                <w:szCs w:val="24"/>
                <w:highlight w:val="none"/>
              </w:rPr>
              <w:t>投标文件封套上应载明的信息</w:t>
            </w:r>
          </w:p>
        </w:tc>
        <w:tc>
          <w:tcPr>
            <w:tcW w:w="3603" w:type="pct"/>
            <w:vAlign w:val="center"/>
          </w:tcPr>
          <w:p w14:paraId="4030F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（标注资信、技术、商务）</w:t>
            </w:r>
          </w:p>
          <w:p w14:paraId="2F4BB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p>
          <w:p w14:paraId="1D087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26155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b w:val="0"/>
                <w:color w:val="auto"/>
                <w:sz w:val="24"/>
                <w:szCs w:val="20"/>
                <w:highlight w:val="none"/>
                <w:u w:val="single"/>
                <w:lang w:val="en-US" w:eastAsia="zh-CN"/>
              </w:rPr>
            </w:pP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年  月  日  时 分（开标时间）前不得开启</w:t>
            </w:r>
          </w:p>
        </w:tc>
      </w:tr>
      <w:tr w14:paraId="68F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692EBBE4">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892" w:type="pct"/>
            <w:vAlign w:val="center"/>
          </w:tcPr>
          <w:p w14:paraId="4F390B15">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603" w:type="pct"/>
            <w:vAlign w:val="center"/>
          </w:tcPr>
          <w:p w14:paraId="4D4D9352">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u w:val="single"/>
              </w:rPr>
            </w:pPr>
            <w:r>
              <w:rPr>
                <w:rFonts w:hint="eastAsia" w:ascii="宋体" w:hAnsi="宋体" w:eastAsia="宋体"/>
                <w:b w:val="0"/>
                <w:bCs w:val="0"/>
                <w:color w:val="auto"/>
                <w:sz w:val="24"/>
                <w:highlight w:val="none"/>
              </w:rPr>
              <w:t>采购人审查</w:t>
            </w:r>
          </w:p>
        </w:tc>
      </w:tr>
      <w:tr w14:paraId="2FF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C16E9B6">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892" w:type="pct"/>
            <w:vAlign w:val="center"/>
          </w:tcPr>
          <w:p w14:paraId="66E06393">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603" w:type="pct"/>
            <w:vAlign w:val="center"/>
          </w:tcPr>
          <w:p w14:paraId="12BA1614">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4E6E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3687491D">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892" w:type="pct"/>
            <w:vAlign w:val="center"/>
          </w:tcPr>
          <w:p w14:paraId="28D52733">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603" w:type="pct"/>
            <w:vAlign w:val="center"/>
          </w:tcPr>
          <w:p w14:paraId="2BE2867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评标委员会推荐 3 名中标候选人</w:t>
            </w:r>
          </w:p>
        </w:tc>
      </w:tr>
      <w:tr w14:paraId="174E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7B36B613">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892" w:type="pct"/>
            <w:vAlign w:val="center"/>
          </w:tcPr>
          <w:p w14:paraId="20EA5148">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603" w:type="pct"/>
            <w:vAlign w:val="center"/>
          </w:tcPr>
          <w:p w14:paraId="37FF85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采购人委托评标委员会确定</w:t>
            </w:r>
          </w:p>
        </w:tc>
      </w:tr>
      <w:tr w14:paraId="772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4FB1C53">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892" w:type="pct"/>
            <w:vAlign w:val="center"/>
          </w:tcPr>
          <w:p w14:paraId="1E57681D">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603" w:type="pct"/>
            <w:vAlign w:val="center"/>
          </w:tcPr>
          <w:p w14:paraId="70241AD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2334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D9A06C5">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892" w:type="pct"/>
            <w:vAlign w:val="center"/>
          </w:tcPr>
          <w:p w14:paraId="4AF7C670">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603" w:type="pct"/>
            <w:vAlign w:val="center"/>
          </w:tcPr>
          <w:p w14:paraId="5243198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书面 </w:t>
            </w:r>
            <w:r>
              <w:rPr>
                <w:rFonts w:hint="default" w:ascii="宋体" w:hAnsi="宋体" w:eastAsia="宋体" w:cs="宋体"/>
                <w:b w:val="0"/>
                <w:bCs w:val="0"/>
                <w:color w:val="auto"/>
                <w:sz w:val="24"/>
                <w:szCs w:val="24"/>
                <w:highlight w:val="none"/>
                <w:lang w:val="en-US" w:eastAsia="zh-CN"/>
              </w:rPr>
              <w:t xml:space="preserve">    </w:t>
            </w:r>
          </w:p>
        </w:tc>
      </w:tr>
      <w:tr w14:paraId="6EA2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0D39A158">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892" w:type="pct"/>
            <w:vAlign w:val="center"/>
          </w:tcPr>
          <w:p w14:paraId="17FB4A7F">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603" w:type="pct"/>
            <w:vAlign w:val="center"/>
          </w:tcPr>
          <w:p w14:paraId="6E232B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投标人自行在滁州市机电工程学校官网查看</w:t>
            </w:r>
          </w:p>
        </w:tc>
      </w:tr>
      <w:tr w14:paraId="5EAA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4" w:type="pct"/>
            <w:vAlign w:val="center"/>
          </w:tcPr>
          <w:p w14:paraId="1845C583">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892" w:type="pct"/>
            <w:vAlign w:val="center"/>
          </w:tcPr>
          <w:p w14:paraId="27B38027">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履约保证金</w:t>
            </w:r>
          </w:p>
        </w:tc>
        <w:tc>
          <w:tcPr>
            <w:tcW w:w="3603" w:type="pct"/>
            <w:vAlign w:val="center"/>
          </w:tcPr>
          <w:p w14:paraId="52B35360">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免收</w:t>
            </w:r>
          </w:p>
        </w:tc>
      </w:tr>
      <w:tr w14:paraId="5BC2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04" w:type="pct"/>
            <w:vAlign w:val="center"/>
          </w:tcPr>
          <w:p w14:paraId="030EAABD">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892" w:type="pct"/>
            <w:vAlign w:val="center"/>
          </w:tcPr>
          <w:p w14:paraId="6F0665C4">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603" w:type="pct"/>
          </w:tcPr>
          <w:p w14:paraId="6A2B010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5C901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bCs/>
                <w:color w:val="auto"/>
                <w:kern w:val="0"/>
                <w:sz w:val="24"/>
                <w:szCs w:val="24"/>
                <w:highlight w:val="none"/>
                <w:lang w:val="en-US"/>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6C3E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09618BC1">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892" w:type="pct"/>
            <w:vAlign w:val="center"/>
          </w:tcPr>
          <w:p w14:paraId="2202FEE4">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代理费及专家评审费</w:t>
            </w:r>
          </w:p>
        </w:tc>
        <w:tc>
          <w:tcPr>
            <w:tcW w:w="3603" w:type="pct"/>
            <w:vAlign w:val="center"/>
          </w:tcPr>
          <w:p w14:paraId="5EB8D824">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default"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default" w:ascii="宋体" w:hAnsi="宋体" w:eastAsia="宋体" w:cs="宋体"/>
                <w:color w:val="auto"/>
                <w:spacing w:val="14"/>
                <w:sz w:val="24"/>
                <w:szCs w:val="24"/>
                <w:highlight w:val="none"/>
              </w:rPr>
              <w:t>中标人</w:t>
            </w:r>
          </w:p>
          <w:p w14:paraId="7256C3A0">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现金或转账</w:t>
            </w:r>
          </w:p>
          <w:p w14:paraId="72049141">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single" w:color="auto"/>
                <w:lang w:val="en-US" w:eastAsia="zh-CN"/>
              </w:rPr>
              <w:t>代理费3000元</w:t>
            </w:r>
            <w:r>
              <w:rPr>
                <w:rFonts w:hint="default"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不含专家评审费，</w:t>
            </w:r>
            <w:r>
              <w:rPr>
                <w:rFonts w:hint="default" w:ascii="宋体" w:hAnsi="宋体" w:eastAsia="宋体" w:cs="宋体"/>
                <w:b w:val="0"/>
                <w:bCs w:val="0"/>
                <w:color w:val="auto"/>
                <w:kern w:val="2"/>
                <w:sz w:val="24"/>
                <w:szCs w:val="24"/>
                <w:highlight w:val="none"/>
                <w:u w:val="single"/>
                <w:lang w:val="en-US" w:eastAsia="zh-CN" w:bidi="ar-SA"/>
              </w:rPr>
              <w:t>评审费另计，以实际发生为准）</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14:paraId="3B87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516A3D6D">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892" w:type="pct"/>
            <w:vAlign w:val="center"/>
          </w:tcPr>
          <w:p w14:paraId="191F0545">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603" w:type="pct"/>
            <w:vAlign w:val="center"/>
          </w:tcPr>
          <w:p w14:paraId="5FC0E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b w:val="0"/>
                <w:color w:val="auto"/>
                <w:sz w:val="24"/>
                <w:szCs w:val="20"/>
                <w:highlight w:val="none"/>
              </w:rPr>
              <w:t>递交方式：</w:t>
            </w:r>
            <w:r>
              <w:rPr>
                <w:rFonts w:hint="eastAsia" w:ascii="宋体" w:hAnsi="宋体" w:eastAsia="宋体" w:cs="@仿宋_GB2312"/>
                <w:b w:val="0"/>
                <w:bCs/>
                <w:color w:val="auto"/>
                <w:kern w:val="2"/>
                <w:sz w:val="24"/>
                <w:szCs w:val="22"/>
                <w:highlight w:val="none"/>
                <w:lang w:val="en-US" w:eastAsia="zh-CN" w:bidi="ar-SA"/>
              </w:rPr>
              <w:t xml:space="preserve">投标人通过书面形式提出，一份质疑函只能针对一个项目提出质疑，且针对同一采购程序 </w:t>
            </w:r>
          </w:p>
          <w:p w14:paraId="4922C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cs="@仿宋_GB2312"/>
                <w:b w:val="0"/>
                <w:bCs/>
                <w:color w:val="auto"/>
                <w:kern w:val="2"/>
                <w:sz w:val="24"/>
                <w:szCs w:val="22"/>
                <w:highlight w:val="none"/>
                <w:lang w:val="en-US" w:eastAsia="zh-CN" w:bidi="ar-SA"/>
              </w:rPr>
              <w:t>环节的质疑应当一次性提出。</w:t>
            </w:r>
          </w:p>
          <w:p w14:paraId="74C78483">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滁州市机电工程学校或安徽品质工程咨询有限公司</w:t>
            </w:r>
            <w:r>
              <w:rPr>
                <w:rFonts w:hint="default"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18755022899或18010913400</w:t>
            </w:r>
          </w:p>
          <w:p w14:paraId="21A33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szCs w:val="20"/>
                <w:highlight w:val="none"/>
              </w:rPr>
            </w:pPr>
            <w:r>
              <w:rPr>
                <w:rFonts w:hint="eastAsia" w:ascii="宋体" w:hAnsi="宋体" w:eastAsia="宋体"/>
                <w:b w:val="0"/>
                <w:color w:val="auto"/>
                <w:sz w:val="24"/>
                <w:szCs w:val="20"/>
                <w:highlight w:val="none"/>
              </w:rPr>
              <w:t>通讯地址：</w:t>
            </w:r>
            <w:r>
              <w:rPr>
                <w:rFonts w:hint="eastAsia" w:ascii="宋体" w:hAnsi="宋体" w:eastAsia="宋体"/>
                <w:b w:val="0"/>
                <w:color w:val="auto"/>
                <w:sz w:val="24"/>
                <w:szCs w:val="20"/>
                <w:highlight w:val="none"/>
                <w:u w:val="single"/>
                <w:lang w:val="en-US" w:eastAsia="zh-CN"/>
              </w:rPr>
              <w:t>安徽省滁州市丰乐大道2238号或</w:t>
            </w:r>
            <w:r>
              <w:rPr>
                <w:rFonts w:hint="eastAsia" w:ascii="宋体" w:hAnsi="宋体" w:eastAsia="宋体" w:cs="宋体"/>
                <w:i w:val="0"/>
                <w:iCs w:val="0"/>
                <w:caps w:val="0"/>
                <w:color w:val="auto"/>
                <w:spacing w:val="0"/>
                <w:kern w:val="2"/>
                <w:sz w:val="24"/>
                <w:szCs w:val="24"/>
                <w:highlight w:val="none"/>
                <w:u w:val="single"/>
                <w:shd w:val="clear" w:fill="FFFFFF"/>
                <w:lang w:val="en-US" w:eastAsia="zh-CN" w:bidi="ar"/>
              </w:rPr>
              <w:t>滁州市南谯区仁和路金鹏壹品苑二楼门面房</w:t>
            </w:r>
          </w:p>
        </w:tc>
      </w:tr>
      <w:tr w14:paraId="7C4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7247B200">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签字或盖章要求</w:t>
            </w:r>
          </w:p>
        </w:tc>
        <w:tc>
          <w:tcPr>
            <w:tcW w:w="3603" w:type="pct"/>
            <w:vAlign w:val="center"/>
          </w:tcPr>
          <w:p w14:paraId="0895A4AD">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投标文件须按格式文件要求签字或盖章,</w:t>
            </w:r>
          </w:p>
          <w:p w14:paraId="6CE06E95">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否则经评标委员会一致认定且经过监管部门批准后, 按照无效投标处理。</w:t>
            </w:r>
          </w:p>
        </w:tc>
      </w:tr>
      <w:tr w14:paraId="2B17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3242A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b w:val="0"/>
                <w:color w:val="auto"/>
                <w:sz w:val="24"/>
                <w:szCs w:val="20"/>
                <w:highlight w:val="none"/>
              </w:rPr>
            </w:pPr>
            <w:r>
              <w:rPr>
                <w:rFonts w:hint="eastAsia" w:ascii="宋体" w:hAnsi="宋体" w:eastAsia="宋体" w:cs="宋体"/>
                <w:b/>
                <w:bCs/>
                <w:color w:val="auto"/>
                <w:sz w:val="24"/>
                <w:szCs w:val="24"/>
                <w:highlight w:val="none"/>
              </w:rPr>
              <w:t>付款方式</w:t>
            </w:r>
          </w:p>
        </w:tc>
        <w:tc>
          <w:tcPr>
            <w:tcW w:w="3603" w:type="pct"/>
            <w:vAlign w:val="center"/>
          </w:tcPr>
          <w:p w14:paraId="4A6EB5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b w:val="0"/>
                <w:color w:val="auto"/>
                <w:sz w:val="24"/>
                <w:szCs w:val="20"/>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项目全部工作完成且验收合格后，一次性付清合同价款。</w:t>
            </w:r>
          </w:p>
        </w:tc>
      </w:tr>
      <w:tr w14:paraId="20C6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2967651F">
            <w:pPr>
              <w:pStyle w:val="37"/>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Cs/>
                <w:color w:val="auto"/>
                <w:kern w:val="2"/>
                <w:highlight w:val="none"/>
                <w:lang w:val="en-US" w:eastAsia="zh-CN"/>
              </w:rPr>
            </w:pPr>
          </w:p>
          <w:p w14:paraId="532567EA">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603" w:type="pct"/>
            <w:vAlign w:val="center"/>
          </w:tcPr>
          <w:p w14:paraId="015F01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254EC9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2FC09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C9DC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2FEB2B7F">
            <w:pPr>
              <w:pStyle w:val="3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tc>
      </w:tr>
    </w:tbl>
    <w:p w14:paraId="2D693E80">
      <w:pPr>
        <w:spacing w:line="360" w:lineRule="auto"/>
        <w:jc w:val="center"/>
        <w:outlineLvl w:val="1"/>
        <w:rPr>
          <w:rFonts w:asciiTheme="minorEastAsia" w:hAnsiTheme="minorEastAsia" w:eastAsiaTheme="minorEastAsia"/>
          <w:b/>
          <w:color w:val="auto"/>
          <w:sz w:val="24"/>
          <w:highlight w:val="none"/>
        </w:rPr>
      </w:pPr>
      <w:bookmarkStart w:id="21" w:name="_Toc9427"/>
      <w:bookmarkStart w:id="22" w:name="_Toc248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24CAC21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C4E4B7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1C99A7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773B27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683D7BF0">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5999AD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3F662DE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195A29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22E0D68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4BE068B9">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064F494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481AD300">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D5D272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99A2FA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08E618B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47359A7E">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3C854A4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4189D8AD">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FF81303">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5B0B3809">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AF7D556">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1786446B">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E5CD176">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37878129">
      <w:pPr>
        <w:keepNext w:val="0"/>
        <w:keepLines w:val="0"/>
        <w:pageBreakBefore w:val="0"/>
        <w:widowControl w:val="0"/>
        <w:kinsoku/>
        <w:wordWrap/>
        <w:overflowPunct/>
        <w:topLinePunct w:val="0"/>
        <w:autoSpaceDE/>
        <w:autoSpaceDN/>
        <w:bidi w:val="0"/>
        <w:adjustRightInd/>
        <w:snapToGrid/>
        <w:spacing w:line="42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5AABE4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39E074E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7A447006">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557F3317">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w:t>
      </w:r>
      <w:r>
        <w:rPr>
          <w:rFonts w:hint="eastAsia" w:ascii="宋体" w:hAnsi="宋体" w:eastAsia="宋体"/>
          <w:color w:val="auto"/>
          <w:sz w:val="24"/>
          <w:highlight w:val="none"/>
        </w:rPr>
        <w:t>如对招标文件内容有疑问，</w:t>
      </w:r>
      <w:r>
        <w:rPr>
          <w:rFonts w:hint="eastAsia" w:ascii="宋体" w:hAnsi="宋体" w:eastAsia="宋体"/>
          <w:color w:val="auto"/>
          <w:sz w:val="24"/>
          <w:highlight w:val="none"/>
          <w:lang w:val="en-US" w:eastAsia="zh-CN"/>
        </w:rPr>
        <w:t>可</w:t>
      </w:r>
      <w:r>
        <w:rPr>
          <w:rFonts w:hint="eastAsia" w:ascii="宋体" w:hAnsi="宋体" w:eastAsia="宋体"/>
          <w:color w:val="auto"/>
          <w:sz w:val="24"/>
          <w:highlight w:val="none"/>
        </w:rPr>
        <w:t>在投标人须知前附表规定</w:t>
      </w:r>
      <w:r>
        <w:rPr>
          <w:rFonts w:hint="eastAsia" w:ascii="宋体" w:hAnsi="宋体" w:eastAsia="宋体"/>
          <w:color w:val="auto"/>
          <w:sz w:val="24"/>
          <w:highlight w:val="none"/>
          <w:lang w:val="en-US" w:eastAsia="zh-CN"/>
        </w:rPr>
        <w:t>的时间及方式提出疑问</w:t>
      </w:r>
      <w:r>
        <w:rPr>
          <w:rFonts w:hint="eastAsia" w:ascii="宋体" w:hAnsi="宋体" w:eastAsia="宋体"/>
          <w:color w:val="auto"/>
          <w:sz w:val="24"/>
          <w:highlight w:val="none"/>
        </w:rPr>
        <w:t>提交给采购代理机构邮箱</w:t>
      </w:r>
      <w:r>
        <w:rPr>
          <w:rFonts w:ascii="宋体" w:hAnsi="宋体" w:eastAsia="宋体"/>
          <w:color w:val="auto"/>
          <w:sz w:val="24"/>
          <w:highlight w:val="none"/>
        </w:rPr>
        <w:t>。</w:t>
      </w:r>
    </w:p>
    <w:p w14:paraId="7E48B3C0">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宋体" w:hAnsi="宋体" w:eastAsia="宋体"/>
          <w:color w:val="auto"/>
          <w:sz w:val="24"/>
          <w:highlight w:val="none"/>
          <w:lang w:val="en-US" w:eastAsia="zh-CN"/>
        </w:rPr>
        <w:t>滁州市机电工程学校官网</w:t>
      </w:r>
      <w:r>
        <w:rPr>
          <w:rFonts w:hint="eastAsia" w:ascii="宋体" w:hAnsi="宋体" w:eastAsia="宋体"/>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52D829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215234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07521B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6FA41CA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116EB8E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1D59F8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服务均应符合国家强制性标准。</w:t>
      </w:r>
    </w:p>
    <w:bookmarkEnd w:id="23"/>
    <w:p w14:paraId="60AD26C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9D6716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FE790E2">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267C4C2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505C2057">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BEDB39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0D6D5353">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2854FDD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36BA0A2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553D4FE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6E815A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F9E6F8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0A958537">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45DC498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45C1D036">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1A8AC7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39C81F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9DE2D6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00460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2"/>
          <w:sz w:val="24"/>
          <w:highlight w:val="none"/>
          <w:lang w:val="en-US" w:eastAsia="zh-CN" w:bidi="ar-SA"/>
        </w:rPr>
        <w:t>12.</w:t>
      </w:r>
      <w:r>
        <w:rPr>
          <w:rFonts w:hint="eastAsia" w:asciiTheme="minorEastAsia" w:hAnsiTheme="minorEastAsia" w:eastAsiaTheme="minorEastAsia"/>
          <w:b/>
          <w:color w:val="auto"/>
          <w:sz w:val="24"/>
          <w:highlight w:val="none"/>
        </w:rPr>
        <w:t>投标文件</w:t>
      </w:r>
    </w:p>
    <w:p w14:paraId="60C890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12.1</w:t>
      </w:r>
      <w:r>
        <w:rPr>
          <w:rFonts w:hint="eastAsia" w:asciiTheme="minorEastAsia" w:hAnsiTheme="minorEastAsia" w:eastAsiaTheme="minorEastAsia"/>
          <w:b/>
          <w:bCs/>
          <w:color w:val="auto"/>
          <w:sz w:val="24"/>
          <w:highlight w:val="none"/>
        </w:rPr>
        <w:t>投标文件份数</w:t>
      </w:r>
    </w:p>
    <w:p w14:paraId="439BE3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12.1.1</w:t>
      </w:r>
      <w:r>
        <w:rPr>
          <w:rFonts w:hint="eastAsia" w:asciiTheme="minorEastAsia" w:hAnsiTheme="minorEastAsia" w:eastAsiaTheme="minorEastAsia"/>
          <w:color w:val="auto"/>
          <w:sz w:val="24"/>
          <w:highlight w:val="none"/>
        </w:rPr>
        <w:t>投标文件份数要求见投标人须知前附表规定</w:t>
      </w:r>
      <w:r>
        <w:rPr>
          <w:rFonts w:hint="eastAsia" w:asciiTheme="minorEastAsia" w:hAnsiTheme="minorEastAsia" w:eastAsiaTheme="minorEastAsia"/>
          <w:color w:val="auto"/>
          <w:sz w:val="24"/>
          <w:highlight w:val="none"/>
          <w:lang w:eastAsia="zh-CN"/>
        </w:rPr>
        <w:t>。</w:t>
      </w:r>
    </w:p>
    <w:p w14:paraId="53E118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12.2</w:t>
      </w:r>
      <w:r>
        <w:rPr>
          <w:rFonts w:hint="eastAsia" w:asciiTheme="minorEastAsia" w:hAnsiTheme="minorEastAsia" w:eastAsiaTheme="minorEastAsia"/>
          <w:b/>
          <w:bCs/>
          <w:color w:val="auto"/>
          <w:sz w:val="24"/>
          <w:highlight w:val="none"/>
        </w:rPr>
        <w:t>投标文件</w:t>
      </w:r>
      <w:r>
        <w:rPr>
          <w:rFonts w:hint="eastAsia" w:asciiTheme="minorEastAsia" w:hAnsiTheme="minorEastAsia" w:eastAsiaTheme="minorEastAsia"/>
          <w:b/>
          <w:bCs/>
          <w:color w:val="auto"/>
          <w:sz w:val="24"/>
          <w:highlight w:val="none"/>
          <w:lang w:val="en-US" w:eastAsia="zh-CN"/>
        </w:rPr>
        <w:t>装订</w:t>
      </w:r>
    </w:p>
    <w:p w14:paraId="4D34679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.1.1投标文件应按A4纸大小进行装订，对于较大图、表，可采用A3纸，但需要按A4纸大小进行折叠、装订，资信证明文件、</w:t>
      </w:r>
      <w:r>
        <w:rPr>
          <w:rFonts w:hint="eastAsia" w:asciiTheme="minorEastAsia" w:hAnsiTheme="minorEastAsia" w:eastAsiaTheme="minorEastAsia"/>
          <w:color w:val="auto"/>
          <w:sz w:val="24"/>
          <w:highlight w:val="none"/>
          <w:lang w:val="en-US" w:eastAsia="zh-CN"/>
        </w:rPr>
        <w:t>技术标、</w:t>
      </w:r>
      <w:r>
        <w:rPr>
          <w:rFonts w:hint="eastAsia" w:asciiTheme="minorEastAsia" w:hAnsiTheme="minorEastAsia" w:eastAsiaTheme="minorEastAsia"/>
          <w:color w:val="auto"/>
          <w:sz w:val="24"/>
          <w:highlight w:val="none"/>
        </w:rPr>
        <w:t>商务标应当分别装订。投标文件的正本与副本应分别装订成册,具体装订要求见投标人须知前附表规定。</w:t>
      </w:r>
    </w:p>
    <w:p w14:paraId="0FB8C8A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12.3</w:t>
      </w:r>
      <w:r>
        <w:rPr>
          <w:rFonts w:hint="eastAsia" w:asciiTheme="minorEastAsia" w:hAnsiTheme="minorEastAsia" w:eastAsiaTheme="minorEastAsia"/>
          <w:b/>
          <w:bCs/>
          <w:color w:val="auto"/>
          <w:sz w:val="24"/>
          <w:highlight w:val="none"/>
          <w:lang w:eastAsia="zh-CN"/>
        </w:rPr>
        <w:t xml:space="preserve"> 投标文件的密封和标记</w:t>
      </w:r>
    </w:p>
    <w:p w14:paraId="45D9617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1 投标文件应进行包装、加贴封条，并在封套的封口处加盖投标人单位章。</w:t>
      </w:r>
    </w:p>
    <w:p w14:paraId="1F36DEB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2 投标文件封套上应写明的内容及具体密封要求见投标人须知前附表。</w:t>
      </w:r>
    </w:p>
    <w:p w14:paraId="65F2A8F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未按本章第</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1项或</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.2项要求密封和加写标记的投标文件，</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应予拒收。</w:t>
      </w:r>
    </w:p>
    <w:p w14:paraId="74AEAA8A">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投标文件的递交、修改与撤回</w:t>
      </w:r>
    </w:p>
    <w:p w14:paraId="2599CAE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hint="eastAsia" w:asciiTheme="minorEastAsia" w:hAnsiTheme="minorEastAsia" w:eastAsiaTheme="minorEastAsia"/>
          <w:color w:val="auto"/>
          <w:sz w:val="24"/>
          <w:highlight w:val="none"/>
          <w:lang w:val="en-US" w:eastAsia="zh-CN"/>
        </w:rPr>
        <w:t>递交投标文件</w:t>
      </w:r>
      <w:r>
        <w:rPr>
          <w:rFonts w:hint="eastAsia" w:asciiTheme="minorEastAsia" w:hAnsiTheme="minorEastAsia" w:eastAsiaTheme="minorEastAsia"/>
          <w:color w:val="auto"/>
          <w:sz w:val="24"/>
          <w:highlight w:val="none"/>
        </w:rPr>
        <w:t>。</w:t>
      </w:r>
    </w:p>
    <w:p w14:paraId="2D556A5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rPr>
        <w:t>投标人应当在投标截止时间前完成投标文件的</w:t>
      </w:r>
      <w:r>
        <w:rPr>
          <w:rFonts w:hint="eastAsia" w:asciiTheme="minorEastAsia" w:hAnsiTheme="minorEastAsia" w:eastAsiaTheme="minorEastAsia"/>
          <w:color w:val="auto"/>
          <w:sz w:val="24"/>
          <w:highlight w:val="none"/>
          <w:lang w:val="en-US" w:eastAsia="zh-CN"/>
        </w:rPr>
        <w:t>递交</w:t>
      </w:r>
      <w:r>
        <w:rPr>
          <w:rFonts w:hint="eastAsia" w:asciiTheme="minorEastAsia" w:hAnsiTheme="minorEastAsia" w:eastAsiaTheme="minorEastAsia"/>
          <w:color w:val="auto"/>
          <w:sz w:val="24"/>
          <w:highlight w:val="none"/>
        </w:rPr>
        <w:t>，并可以补充、修改或者撤回投标文件。投标截止时间前未完成投标文件</w:t>
      </w:r>
      <w:r>
        <w:rPr>
          <w:rFonts w:hint="eastAsia" w:asciiTheme="minorEastAsia" w:hAnsiTheme="minorEastAsia" w:eastAsiaTheme="minorEastAsia"/>
          <w:color w:val="auto"/>
          <w:sz w:val="24"/>
          <w:highlight w:val="none"/>
          <w:lang w:val="en-US" w:eastAsia="zh-CN"/>
        </w:rPr>
        <w:t>递交</w:t>
      </w:r>
      <w:r>
        <w:rPr>
          <w:rFonts w:hint="eastAsia" w:asciiTheme="minorEastAsia" w:hAnsiTheme="minorEastAsia" w:eastAsiaTheme="minorEastAsia"/>
          <w:color w:val="auto"/>
          <w:sz w:val="24"/>
          <w:highlight w:val="none"/>
        </w:rPr>
        <w:t>的，视为撤回投标文件。未按规定投标截止时间后送达的投标文件，应当拒收。</w:t>
      </w:r>
    </w:p>
    <w:p w14:paraId="2F65BF2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12.2.3</w:t>
      </w:r>
      <w:r>
        <w:rPr>
          <w:rFonts w:hint="eastAsia" w:asciiTheme="minorEastAsia" w:hAnsiTheme="minorEastAsia" w:eastAsiaTheme="minorEastAsia"/>
          <w:color w:val="auto"/>
          <w:sz w:val="24"/>
          <w:highlight w:val="none"/>
        </w:rPr>
        <w:t>投标人对投标文件的补充、修改，应按本须知第</w:t>
      </w:r>
      <w:r>
        <w:rPr>
          <w:rFonts w:hint="eastAsia" w:asciiTheme="minorEastAsia" w:hAnsiTheme="minorEastAsia" w:eastAsiaTheme="minorEastAsia"/>
          <w:color w:val="auto"/>
          <w:sz w:val="24"/>
          <w:highlight w:val="none"/>
          <w:lang w:val="en-US" w:eastAsia="zh-CN"/>
        </w:rPr>
        <w:t>12.1</w:t>
      </w:r>
      <w:r>
        <w:rPr>
          <w:rFonts w:hint="eastAsia" w:asciiTheme="minorEastAsia" w:hAnsiTheme="minorEastAsia" w:eastAsiaTheme="minorEastAsia"/>
          <w:color w:val="auto"/>
          <w:sz w:val="24"/>
          <w:highlight w:val="none"/>
        </w:rPr>
        <w:t>条、第</w:t>
      </w:r>
      <w:r>
        <w:rPr>
          <w:rFonts w:hint="eastAsia" w:asciiTheme="minorEastAsia" w:hAnsiTheme="minorEastAsia" w:eastAsiaTheme="minorEastAsia"/>
          <w:color w:val="auto"/>
          <w:sz w:val="24"/>
          <w:highlight w:val="none"/>
          <w:lang w:val="en-US" w:eastAsia="zh-CN"/>
        </w:rPr>
        <w:t>12.2</w:t>
      </w:r>
      <w:r>
        <w:rPr>
          <w:rFonts w:hint="eastAsia" w:asciiTheme="minorEastAsia" w:hAnsiTheme="minorEastAsia" w:eastAsiaTheme="minorEastAsia"/>
          <w:color w:val="auto"/>
          <w:sz w:val="24"/>
          <w:highlight w:val="none"/>
        </w:rPr>
        <w:t>条和第</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条有关规定密封、标记和提交，并在投标文件密封袋上清楚标明“补充”、“修改”字样。</w:t>
      </w:r>
    </w:p>
    <w:p w14:paraId="4ECA7717">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12.2.4</w:t>
      </w:r>
      <w:r>
        <w:rPr>
          <w:rFonts w:hint="eastAsia" w:asciiTheme="minorEastAsia" w:hAnsiTheme="minorEastAsia" w:eastAsiaTheme="minorEastAsia"/>
          <w:color w:val="auto"/>
          <w:sz w:val="24"/>
          <w:highlight w:val="none"/>
        </w:rPr>
        <w:t xml:space="preserve"> 在投标截止时间之后，投标人不得补充、修改投标文件。</w:t>
      </w:r>
    </w:p>
    <w:p w14:paraId="4DAA359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12.2.5</w:t>
      </w:r>
      <w:r>
        <w:rPr>
          <w:rFonts w:hint="eastAsia" w:asciiTheme="minorEastAsia" w:hAnsiTheme="minorEastAsia" w:eastAsiaTheme="minorEastAsia"/>
          <w:color w:val="auto"/>
          <w:sz w:val="24"/>
          <w:highlight w:val="none"/>
        </w:rPr>
        <w:t xml:space="preserve"> 投标截止时间之后，投标文件不得撤回；如果撤回的，投标保证金不予退还。</w:t>
      </w:r>
    </w:p>
    <w:p w14:paraId="4CB05784">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3DD2E747">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w:t>
      </w:r>
      <w:r>
        <w:rPr>
          <w:rFonts w:hint="eastAsia" w:ascii="宋体" w:hAnsi="宋体" w:eastAsia="宋体" w:cs="宋体"/>
          <w:color w:val="auto"/>
          <w:sz w:val="24"/>
          <w:szCs w:val="24"/>
          <w:highlight w:val="none"/>
          <w:lang w:val="en-US" w:eastAsia="zh-CN"/>
        </w:rPr>
        <w:t>代表</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val="en-US" w:eastAsia="zh-CN"/>
        </w:rPr>
        <w:t>各</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hint="eastAsia" w:asciiTheme="minorEastAsia" w:hAnsiTheme="minorEastAsia" w:eastAsiaTheme="minorEastAsia"/>
          <w:color w:val="auto"/>
          <w:sz w:val="24"/>
          <w:highlight w:val="none"/>
          <w:lang w:val="en-US" w:eastAsia="zh-CN"/>
        </w:rPr>
        <w:t>密封检查</w:t>
      </w:r>
      <w:r>
        <w:rPr>
          <w:rFonts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lang w:val="en-US" w:eastAsia="zh-CN"/>
        </w:rPr>
        <w:t>法定代表人参加开标会议，应携带本人身份证；委托代理人参加开标会议应携带法定代表人授权书和本人身份证。</w:t>
      </w:r>
    </w:p>
    <w:p w14:paraId="7EF33FA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2CA11D1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02F945C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4330558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024A24A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p>
    <w:p w14:paraId="10409AE0">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BAF8085">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14C24B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6E55063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287259F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76AC592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投标人未派代表参加开标的</w:t>
      </w:r>
      <w:r>
        <w:rPr>
          <w:rFonts w:hint="eastAsia" w:asciiTheme="minorEastAsia" w:hAnsiTheme="minorEastAsia" w:eastAsiaTheme="minorEastAsia"/>
          <w:color w:val="auto"/>
          <w:sz w:val="24"/>
          <w:highlight w:val="none"/>
          <w:lang w:val="en-US" w:eastAsia="zh-CN"/>
        </w:rPr>
        <w:t>或</w:t>
      </w:r>
      <w:r>
        <w:rPr>
          <w:rFonts w:hint="eastAsia" w:ascii="宋体" w:hAnsi="宋体" w:eastAsia="宋体"/>
          <w:color w:val="auto"/>
          <w:sz w:val="24"/>
          <w:highlight w:val="none"/>
        </w:rPr>
        <w:t>投标人授权代表联系不上等情形而无法接受评标委员会询标的，投标人自行承担相关风险。</w:t>
      </w:r>
    </w:p>
    <w:p w14:paraId="34EEB15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7BC4C16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776A916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10258F87">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71D0802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72909B4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58618D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A1379F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C38EB3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55FB8C42">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3A2561F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080369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870AE1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w:t>
      </w:r>
      <w:r>
        <w:rPr>
          <w:rFonts w:hint="eastAsia" w:asciiTheme="minorEastAsia" w:hAnsiTheme="minorEastAsia" w:eastAsiaTheme="minorEastAsia"/>
          <w:color w:val="auto"/>
          <w:sz w:val="24"/>
          <w:highlight w:val="none"/>
          <w:lang w:val="en-US" w:eastAsia="zh-CN"/>
        </w:rPr>
        <w:t>加盖投标人公章的复印件</w:t>
      </w:r>
      <w:r>
        <w:rPr>
          <w:rFonts w:hint="eastAsia" w:asciiTheme="minorEastAsia" w:hAnsiTheme="minorEastAsia" w:eastAsiaTheme="minorEastAsia"/>
          <w:color w:val="auto"/>
          <w:sz w:val="24"/>
          <w:highlight w:val="none"/>
        </w:rPr>
        <w:t>，评标委员会视同其未提供。</w:t>
      </w:r>
    </w:p>
    <w:p w14:paraId="3D9747B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F98A84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1E4949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B85B1D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857640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44D52E3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1DA37D4">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526FB35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695A3AC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7C5DB080">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586FDA1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C9502C6">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09F0BA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42511B7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3E1D32C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B5E483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7CA1DDE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0E5F140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4704B2B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44DDB1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755884BC">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1AD8A40B">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0B6F63F0">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C34D452">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4845E07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4CC52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71BACCF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36D9C1A5">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43C5B2C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7C092041">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BFAC795">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59C6BFE3">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5C00F12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3160AD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877CF0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317D3F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滁州市机电工程学校官网（http://www.cztc.edu.cn/）</w:t>
      </w:r>
      <w:r>
        <w:rPr>
          <w:rFonts w:hint="eastAsia" w:ascii="宋体" w:hAnsi="宋体" w:eastAsia="宋体"/>
          <w:color w:val="auto"/>
          <w:sz w:val="24"/>
          <w:szCs w:val="18"/>
          <w:highlight w:val="none"/>
        </w:rPr>
        <w:t>上发布中标结果公告。</w:t>
      </w:r>
    </w:p>
    <w:p w14:paraId="7CDEA44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color w:val="auto"/>
          <w:sz w:val="24"/>
          <w:highlight w:val="none"/>
          <w:lang w:val="en-US" w:eastAsia="zh-CN"/>
        </w:rPr>
        <w:t>服务范围</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时间</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标准</w:t>
      </w:r>
      <w:r>
        <w:rPr>
          <w:rFonts w:asciiTheme="minorEastAsia" w:hAnsiTheme="minorEastAsia" w:eastAsiaTheme="minorEastAsia"/>
          <w:color w:val="auto"/>
          <w:sz w:val="24"/>
          <w:highlight w:val="none"/>
        </w:rPr>
        <w:t>、服务要求，中标公告期限以及</w:t>
      </w:r>
      <w:r>
        <w:rPr>
          <w:rFonts w:hint="eastAsia" w:asciiTheme="minorEastAsia" w:hAnsiTheme="minorEastAsia" w:eastAsiaTheme="minorEastAsia"/>
          <w:color w:val="auto"/>
          <w:sz w:val="24"/>
          <w:highlight w:val="none"/>
        </w:rPr>
        <w:t>投标人须知前附表</w:t>
      </w:r>
      <w:r>
        <w:rPr>
          <w:rFonts w:asciiTheme="minorEastAsia" w:hAnsiTheme="minorEastAsia" w:eastAsiaTheme="minorEastAsia"/>
          <w:color w:val="auto"/>
          <w:sz w:val="24"/>
          <w:highlight w:val="none"/>
        </w:rPr>
        <w:t>中约定进行公告的内容。中标公告期限为1个工作日。</w:t>
      </w:r>
    </w:p>
    <w:p w14:paraId="4B769BEA">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31E099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643F4EF4">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09DEF17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67ADD13E">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B368E13">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720B14A8">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3F43C83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1BDA04C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3EC57C93">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9F4428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055ED1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44A67C9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65CCDAAA">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6F60BA47">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1B560AF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696A4B0">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bookmarkStart w:id="25" w:name="_Toc518923100"/>
      <w:bookmarkStart w:id="26" w:name="_Toc2583661"/>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5"/>
      <w:bookmarkEnd w:id="26"/>
    </w:p>
    <w:p w14:paraId="4E89634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667846F">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3AD1229F">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bookmarkStart w:id="27" w:name="_Toc518923101"/>
      <w:bookmarkStart w:id="28"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7"/>
      <w:bookmarkEnd w:id="28"/>
    </w:p>
    <w:p w14:paraId="6AAB08D8">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30D0A71">
      <w:pPr>
        <w:keepNext w:val="0"/>
        <w:keepLines w:val="0"/>
        <w:pageBreakBefore w:val="0"/>
        <w:widowControl w:val="0"/>
        <w:kinsoku/>
        <w:wordWrap/>
        <w:overflowPunct/>
        <w:topLinePunct w:val="0"/>
        <w:autoSpaceDE/>
        <w:autoSpaceDN/>
        <w:bidi w:val="0"/>
        <w:adjustRightInd/>
        <w:snapToGrid/>
        <w:spacing w:line="42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6E929F5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31DB383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642AB32">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D34DC09">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3A51A693">
      <w:pPr>
        <w:numPr>
          <w:ilvl w:val="0"/>
          <w:numId w:val="1"/>
        </w:numPr>
        <w:spacing w:line="360" w:lineRule="auto"/>
        <w:jc w:val="center"/>
        <w:outlineLvl w:val="0"/>
        <w:rPr>
          <w:rFonts w:hint="eastAsia" w:asciiTheme="minorEastAsia" w:hAnsiTheme="minorEastAsia" w:eastAsiaTheme="minorEastAsia"/>
          <w:b/>
          <w:color w:val="auto"/>
          <w:sz w:val="28"/>
          <w:highlight w:val="none"/>
          <w:lang w:eastAsia="zh-CN"/>
        </w:rPr>
      </w:pPr>
      <w:r>
        <w:rPr>
          <w:rFonts w:hint="eastAsia" w:asciiTheme="minorEastAsia" w:hAnsiTheme="minorEastAsia" w:eastAsiaTheme="minorEastAsia"/>
          <w:b/>
          <w:color w:val="auto"/>
          <w:sz w:val="28"/>
          <w:highlight w:val="none"/>
        </w:rPr>
        <w:t xml:space="preserve"> </w:t>
      </w:r>
      <w:bookmarkStart w:id="29" w:name="_Toc22605"/>
      <w:r>
        <w:rPr>
          <w:rFonts w:hint="eastAsia" w:asciiTheme="minorEastAsia" w:hAnsiTheme="minorEastAsia" w:eastAsiaTheme="minorEastAsia"/>
          <w:b/>
          <w:color w:val="auto"/>
          <w:sz w:val="28"/>
          <w:highlight w:val="none"/>
        </w:rPr>
        <w:t>采购需求</w:t>
      </w:r>
      <w:bookmarkEnd w:id="29"/>
    </w:p>
    <w:p w14:paraId="6AAA56FA">
      <w:pPr>
        <w:spacing w:line="360" w:lineRule="auto"/>
        <w:ind w:firstLine="437"/>
        <w:outlineLvl w:val="1"/>
        <w:rPr>
          <w:rFonts w:ascii="宋体" w:hAnsi="宋体" w:eastAsia="宋体"/>
          <w:b/>
          <w:color w:val="auto"/>
          <w:sz w:val="24"/>
          <w:szCs w:val="18"/>
          <w:highlight w:val="none"/>
        </w:rPr>
      </w:pPr>
      <w:bookmarkStart w:id="30" w:name="_Toc21798"/>
      <w:bookmarkStart w:id="31" w:name="_Toc4148"/>
      <w:bookmarkStart w:id="32" w:name="_Hlk23621890"/>
      <w:r>
        <w:rPr>
          <w:rFonts w:hint="eastAsia" w:ascii="宋体" w:hAnsi="宋体" w:eastAsia="宋体"/>
          <w:b/>
          <w:color w:val="auto"/>
          <w:sz w:val="24"/>
          <w:szCs w:val="18"/>
          <w:highlight w:val="none"/>
        </w:rPr>
        <w:t>一、采购需求前附表</w:t>
      </w:r>
      <w:bookmarkEnd w:id="30"/>
      <w:bookmarkEnd w:id="31"/>
    </w:p>
    <w:tbl>
      <w:tblPr>
        <w:tblStyle w:val="28"/>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745"/>
        <w:gridCol w:w="6160"/>
      </w:tblGrid>
      <w:tr w14:paraId="1B19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3" w:type="pct"/>
            <w:vAlign w:val="center"/>
          </w:tcPr>
          <w:p w14:paraId="1A25DB5F">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1021" w:type="pct"/>
            <w:vAlign w:val="center"/>
          </w:tcPr>
          <w:p w14:paraId="6B49FC80">
            <w:pPr>
              <w:pStyle w:val="36"/>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604" w:type="pct"/>
            <w:vAlign w:val="center"/>
          </w:tcPr>
          <w:p w14:paraId="69E86810">
            <w:pPr>
              <w:pStyle w:val="36"/>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31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3" w:type="pct"/>
            <w:vAlign w:val="center"/>
          </w:tcPr>
          <w:p w14:paraId="523AB903">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1021" w:type="pct"/>
            <w:vAlign w:val="center"/>
          </w:tcPr>
          <w:p w14:paraId="16373D78">
            <w:pPr>
              <w:pStyle w:val="36"/>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604" w:type="pct"/>
            <w:vAlign w:val="center"/>
          </w:tcPr>
          <w:p w14:paraId="6657C700">
            <w:pPr>
              <w:pStyle w:val="36"/>
              <w:keepNext w:val="0"/>
              <w:keepLines w:val="0"/>
              <w:widowControl w:val="0"/>
              <w:suppressLineNumbers w:val="0"/>
              <w:spacing w:before="0" w:beforeAutospacing="0" w:after="0" w:afterAutospacing="0" w:line="360" w:lineRule="auto"/>
              <w:ind w:left="0" w:right="0"/>
              <w:jc w:val="left"/>
              <w:rPr>
                <w:rFonts w:hint="default" w:ascii="宋体" w:hAnsi="宋体" w:eastAsia="宋体"/>
                <w:b w:val="0"/>
                <w:color w:val="auto"/>
                <w:sz w:val="24"/>
                <w:highlight w:val="none"/>
                <w:u w:val="single"/>
              </w:rPr>
            </w:pPr>
            <w:r>
              <w:rPr>
                <w:rFonts w:hint="eastAsia" w:cs="@仿宋_GB2312" w:asciiTheme="minorEastAsia" w:hAnsiTheme="minorEastAsia" w:eastAsiaTheme="minorEastAsia"/>
                <w:b w:val="0"/>
                <w:bCs/>
                <w:color w:val="auto"/>
                <w:kern w:val="2"/>
                <w:sz w:val="24"/>
                <w:szCs w:val="24"/>
                <w:highlight w:val="none"/>
                <w:lang w:val="en-US" w:eastAsia="zh-CN" w:bidi="ar-SA"/>
              </w:rPr>
              <w:t>项目全部工作完成且验收合格后，一次性付清合同价款。</w:t>
            </w:r>
          </w:p>
        </w:tc>
      </w:tr>
      <w:tr w14:paraId="7C5E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3" w:type="pct"/>
            <w:vAlign w:val="center"/>
          </w:tcPr>
          <w:p w14:paraId="23AAE0E1">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1021" w:type="pct"/>
            <w:vAlign w:val="center"/>
          </w:tcPr>
          <w:p w14:paraId="5071C4FA">
            <w:pPr>
              <w:pStyle w:val="36"/>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604" w:type="pct"/>
            <w:vAlign w:val="center"/>
          </w:tcPr>
          <w:p w14:paraId="413B33E5">
            <w:pPr>
              <w:pStyle w:val="36"/>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滁州市机电工程学校，采购人指定地点</w:t>
            </w:r>
          </w:p>
        </w:tc>
      </w:tr>
      <w:tr w14:paraId="4B5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3" w:type="pct"/>
            <w:vAlign w:val="center"/>
          </w:tcPr>
          <w:p w14:paraId="19CA7D9E">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1021" w:type="pct"/>
            <w:vAlign w:val="center"/>
          </w:tcPr>
          <w:p w14:paraId="0050B53F">
            <w:pPr>
              <w:pStyle w:val="36"/>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604" w:type="pct"/>
            <w:vAlign w:val="center"/>
          </w:tcPr>
          <w:p w14:paraId="1B115EEB">
            <w:pPr>
              <w:pStyle w:val="36"/>
              <w:keepNext w:val="0"/>
              <w:keepLines w:val="0"/>
              <w:widowControl w:val="0"/>
              <w:suppressLineNumbers w:val="0"/>
              <w:spacing w:before="0" w:beforeAutospacing="0" w:after="0" w:afterAutospacing="0" w:line="360" w:lineRule="auto"/>
              <w:ind w:left="0" w:right="0"/>
              <w:jc w:val="left"/>
              <w:rPr>
                <w:rFonts w:hint="default" w:ascii="宋体" w:hAnsi="宋体" w:eastAsia="宋体"/>
                <w:b w:val="0"/>
                <w:color w:val="auto"/>
                <w:sz w:val="24"/>
                <w:highlight w:val="none"/>
              </w:rPr>
            </w:pPr>
            <w:r>
              <w:rPr>
                <w:rFonts w:hint="eastAsia" w:ascii="宋体" w:hAnsi="宋体" w:eastAsia="宋体"/>
                <w:b/>
                <w:bCs w:val="0"/>
                <w:color w:val="auto"/>
                <w:sz w:val="24"/>
                <w:highlight w:val="none"/>
              </w:rPr>
              <w:t>合同签订</w:t>
            </w:r>
            <w:r>
              <w:rPr>
                <w:rFonts w:hint="eastAsia" w:ascii="宋体" w:hAnsi="宋体" w:eastAsia="宋体"/>
                <w:b/>
                <w:bCs w:val="0"/>
                <w:color w:val="auto"/>
                <w:sz w:val="24"/>
                <w:highlight w:val="none"/>
                <w:lang w:val="en-US" w:eastAsia="zh-CN"/>
              </w:rPr>
              <w:t>后50个日历天内完成项目全部内容，</w:t>
            </w:r>
            <w:r>
              <w:rPr>
                <w:rFonts w:hint="eastAsia" w:ascii="宋体" w:hAnsi="宋体" w:eastAsia="宋体"/>
                <w:b w:val="0"/>
                <w:color w:val="auto"/>
                <w:sz w:val="24"/>
                <w:highlight w:val="none"/>
                <w:lang w:val="en-US" w:eastAsia="zh-CN"/>
              </w:rPr>
              <w:t>其中</w:t>
            </w:r>
            <w:r>
              <w:rPr>
                <w:rFonts w:hint="eastAsia" w:ascii="宋体" w:hAnsi="宋体" w:eastAsia="宋体"/>
                <w:b w:val="0"/>
                <w:color w:val="auto"/>
                <w:sz w:val="24"/>
                <w:highlight w:val="none"/>
              </w:rPr>
              <w:t>第一阶段：合同签订后15个</w:t>
            </w:r>
            <w:r>
              <w:rPr>
                <w:rFonts w:hint="eastAsia" w:ascii="宋体" w:hAnsi="宋体" w:eastAsia="宋体"/>
                <w:b w:val="0"/>
                <w:color w:val="auto"/>
                <w:sz w:val="24"/>
                <w:highlight w:val="none"/>
                <w:lang w:eastAsia="zh-CN"/>
              </w:rPr>
              <w:t>日历天</w:t>
            </w:r>
            <w:r>
              <w:rPr>
                <w:rFonts w:hint="eastAsia" w:ascii="宋体" w:hAnsi="宋体" w:eastAsia="宋体"/>
                <w:b w:val="0"/>
                <w:color w:val="auto"/>
                <w:sz w:val="24"/>
                <w:highlight w:val="none"/>
              </w:rPr>
              <w:t>完成本项目的应用部署与开发测试工作</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第二阶段：合同签订后30个</w:t>
            </w:r>
            <w:r>
              <w:rPr>
                <w:rFonts w:hint="eastAsia" w:ascii="宋体" w:hAnsi="宋体" w:eastAsia="宋体"/>
                <w:b w:val="0"/>
                <w:color w:val="auto"/>
                <w:sz w:val="24"/>
                <w:highlight w:val="none"/>
                <w:lang w:eastAsia="zh-CN"/>
              </w:rPr>
              <w:t>日历天</w:t>
            </w:r>
            <w:r>
              <w:rPr>
                <w:rFonts w:hint="eastAsia" w:ascii="宋体" w:hAnsi="宋体" w:eastAsia="宋体"/>
                <w:b w:val="0"/>
                <w:color w:val="auto"/>
                <w:sz w:val="24"/>
                <w:highlight w:val="none"/>
              </w:rPr>
              <w:t>完成合同中要求的网站建设内容，进入试运行阶段并进行应用推广和培训工作</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第三阶段：合同签订</w:t>
            </w:r>
            <w:r>
              <w:rPr>
                <w:rFonts w:hint="eastAsia" w:ascii="宋体" w:hAnsi="宋体" w:eastAsia="宋体"/>
                <w:b w:val="0"/>
                <w:color w:val="auto"/>
                <w:sz w:val="24"/>
                <w:highlight w:val="none"/>
                <w:lang w:val="en-US" w:eastAsia="zh-CN"/>
              </w:rPr>
              <w:t>后</w:t>
            </w:r>
            <w:r>
              <w:rPr>
                <w:rFonts w:hint="eastAsia" w:ascii="宋体" w:hAnsi="宋体" w:eastAsia="宋体"/>
                <w:b w:val="0"/>
                <w:color w:val="auto"/>
                <w:sz w:val="24"/>
                <w:highlight w:val="none"/>
              </w:rPr>
              <w:t>50个</w:t>
            </w:r>
            <w:r>
              <w:rPr>
                <w:rFonts w:hint="eastAsia" w:ascii="宋体" w:hAnsi="宋体" w:eastAsia="宋体"/>
                <w:b w:val="0"/>
                <w:color w:val="auto"/>
                <w:sz w:val="24"/>
                <w:highlight w:val="none"/>
                <w:lang w:eastAsia="zh-CN"/>
              </w:rPr>
              <w:t>日历天</w:t>
            </w:r>
            <w:r>
              <w:rPr>
                <w:rFonts w:hint="eastAsia" w:ascii="宋体" w:hAnsi="宋体" w:eastAsia="宋体"/>
                <w:b w:val="0"/>
                <w:color w:val="auto"/>
                <w:sz w:val="24"/>
                <w:highlight w:val="none"/>
              </w:rPr>
              <w:t>完成项目最终验收，提交验收文档。</w:t>
            </w:r>
          </w:p>
        </w:tc>
      </w:tr>
      <w:tr w14:paraId="12A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3" w:type="pct"/>
            <w:vAlign w:val="center"/>
          </w:tcPr>
          <w:p w14:paraId="3CDC946E">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lang w:val="en-US" w:eastAsia="zh-CN"/>
              </w:rPr>
            </w:pPr>
            <w:bookmarkStart w:id="33" w:name="_Toc16543"/>
            <w:bookmarkStart w:id="34" w:name="_Toc8753"/>
            <w:bookmarkStart w:id="35" w:name="_Hlk16461016"/>
            <w:r>
              <w:rPr>
                <w:rFonts w:hint="eastAsia" w:ascii="宋体" w:hAnsi="宋体" w:eastAsia="宋体"/>
                <w:bCs/>
                <w:color w:val="auto"/>
                <w:kern w:val="2"/>
                <w:highlight w:val="none"/>
                <w:lang w:val="en-US" w:eastAsia="zh-CN"/>
              </w:rPr>
              <w:t>4</w:t>
            </w:r>
          </w:p>
        </w:tc>
        <w:tc>
          <w:tcPr>
            <w:tcW w:w="1021" w:type="pct"/>
            <w:vAlign w:val="center"/>
          </w:tcPr>
          <w:p w14:paraId="45E1542E">
            <w:pPr>
              <w:pStyle w:val="36"/>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免费服务（质保）期限</w:t>
            </w:r>
          </w:p>
        </w:tc>
        <w:tc>
          <w:tcPr>
            <w:tcW w:w="3604" w:type="pct"/>
            <w:vAlign w:val="center"/>
          </w:tcPr>
          <w:p w14:paraId="7F868204">
            <w:pPr>
              <w:pStyle w:val="36"/>
              <w:keepNext w:val="0"/>
              <w:keepLines w:val="0"/>
              <w:widowControl w:val="0"/>
              <w:suppressLineNumbers w:val="0"/>
              <w:spacing w:before="0" w:beforeAutospacing="0" w:after="0" w:afterAutospacing="0" w:line="360" w:lineRule="auto"/>
              <w:ind w:left="0" w:right="0"/>
              <w:jc w:val="left"/>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三年（具体按投标人承诺期限为准）</w:t>
            </w:r>
          </w:p>
        </w:tc>
      </w:tr>
    </w:tbl>
    <w:p w14:paraId="79BEA67D">
      <w:pPr>
        <w:numPr>
          <w:ilvl w:val="0"/>
          <w:numId w:val="0"/>
        </w:numPr>
        <w:spacing w:line="360" w:lineRule="auto"/>
        <w:ind w:firstLine="482" w:firstLineChars="200"/>
        <w:outlineLvl w:val="1"/>
        <w:rPr>
          <w:rFonts w:hint="default"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二、</w:t>
      </w:r>
      <w:r>
        <w:rPr>
          <w:rFonts w:hint="eastAsia" w:ascii="宋体" w:hAnsi="宋体" w:eastAsia="宋体"/>
          <w:b/>
          <w:color w:val="auto"/>
          <w:sz w:val="24"/>
          <w:szCs w:val="18"/>
          <w:highlight w:val="none"/>
        </w:rPr>
        <w:t>项目概况</w:t>
      </w:r>
      <w:bookmarkEnd w:id="33"/>
      <w:bookmarkEnd w:id="34"/>
    </w:p>
    <w:p w14:paraId="6E136A5C">
      <w:pPr>
        <w:numPr>
          <w:ilvl w:val="0"/>
          <w:numId w:val="0"/>
        </w:numPr>
        <w:spacing w:line="360" w:lineRule="auto"/>
        <w:ind w:firstLine="482" w:firstLineChars="200"/>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eastAsia="zh-CN"/>
        </w:rPr>
        <w:t>（</w:t>
      </w:r>
      <w:r>
        <w:rPr>
          <w:rFonts w:hint="eastAsia" w:ascii="宋体" w:hAnsi="宋体" w:eastAsia="宋体"/>
          <w:b/>
          <w:color w:val="auto"/>
          <w:sz w:val="24"/>
          <w:szCs w:val="18"/>
          <w:highlight w:val="none"/>
          <w:lang w:val="en-US" w:eastAsia="zh-CN"/>
        </w:rPr>
        <w:t>一</w:t>
      </w:r>
      <w:r>
        <w:rPr>
          <w:rFonts w:hint="eastAsia" w:ascii="宋体" w:hAnsi="宋体" w:eastAsia="宋体"/>
          <w:b/>
          <w:color w:val="auto"/>
          <w:sz w:val="24"/>
          <w:szCs w:val="18"/>
          <w:highlight w:val="none"/>
          <w:lang w:eastAsia="zh-CN"/>
        </w:rPr>
        <w:t>）</w:t>
      </w:r>
      <w:r>
        <w:rPr>
          <w:rFonts w:hint="eastAsia" w:ascii="宋体" w:hAnsi="宋体" w:eastAsia="宋体"/>
          <w:b/>
          <w:color w:val="auto"/>
          <w:sz w:val="24"/>
          <w:szCs w:val="18"/>
          <w:highlight w:val="none"/>
        </w:rPr>
        <w:t>系统总体技术需求</w:t>
      </w:r>
    </w:p>
    <w:p w14:paraId="50F27A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校现有门户网站维保过期,版本多年未有更新,网站发布平台使用不便,模板陈旧。随着技术的飞速发展，网站一直是信息发布、内容管理的重要媒介，但同时也面临着日益复杂的安全威胁。为了适应数字时代的信息化需求，我校亟需对网站管理平台进行升级，以更好地满足学校的信息发布、宣传展示、安全管理的需要。</w:t>
      </w:r>
    </w:p>
    <w:p w14:paraId="052A0517">
      <w:pPr>
        <w:numPr>
          <w:ilvl w:val="0"/>
          <w:numId w:val="0"/>
        </w:numPr>
        <w:spacing w:line="360" w:lineRule="auto"/>
        <w:ind w:firstLine="482" w:firstLineChars="200"/>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(二)</w:t>
      </w:r>
      <w:r>
        <w:rPr>
          <w:rFonts w:hint="eastAsia" w:ascii="宋体" w:hAnsi="宋体" w:eastAsia="宋体"/>
          <w:b/>
          <w:color w:val="auto"/>
          <w:sz w:val="24"/>
          <w:szCs w:val="18"/>
          <w:highlight w:val="none"/>
        </w:rPr>
        <w:t>升级建设内容</w:t>
      </w:r>
    </w:p>
    <w:p w14:paraId="273D6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网站形象提升与设计优化</w:t>
      </w:r>
    </w:p>
    <w:p w14:paraId="2C8D99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对学校官方网站进行定制化改版，符合当前流行样式，提升用户体验。</w:t>
      </w:r>
    </w:p>
    <w:p w14:paraId="401AE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网站设计遵循学校文化</w:t>
      </w:r>
      <w:r>
        <w:rPr>
          <w:rFonts w:ascii="宋体" w:hAnsi="宋体" w:eastAsia="宋体" w:cs="宋体"/>
          <w:color w:val="auto"/>
          <w:sz w:val="24"/>
          <w:highlight w:val="none"/>
        </w:rPr>
        <w:t>LOGO风格,导航菜单人性化,栏目板块分割清晰,首页和栏目页的风格一致</w:t>
      </w:r>
      <w:r>
        <w:rPr>
          <w:rFonts w:hint="eastAsia" w:ascii="宋体" w:hAnsi="宋体" w:eastAsia="宋体" w:cs="宋体"/>
          <w:color w:val="auto"/>
          <w:sz w:val="24"/>
          <w:highlight w:val="none"/>
        </w:rPr>
        <w:t>。</w:t>
      </w:r>
      <w:r>
        <w:rPr>
          <w:rFonts w:ascii="宋体" w:hAnsi="宋体" w:eastAsia="宋体" w:cs="宋体"/>
          <w:color w:val="auto"/>
          <w:sz w:val="24"/>
          <w:highlight w:val="none"/>
        </w:rPr>
        <w:t>界面美观、布局设计独到,富有新意。</w:t>
      </w:r>
    </w:p>
    <w:p w14:paraId="322B8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技术升级与安全体系构建</w:t>
      </w:r>
    </w:p>
    <w:p w14:paraId="73C36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网站建设引入组件模块，实现可视化拖拽式网站建设，便捷页面调整。</w:t>
      </w:r>
    </w:p>
    <w:p w14:paraId="388CCF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将现有平台进行重新构建，引入网页防篡改、内容安全管控等系统。</w:t>
      </w:r>
    </w:p>
    <w:p w14:paraId="44D12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采用等保2.0标准，提高全面主动防御、动态防御、整体防控和精准防护能力。具备审计、日志,备份还原、数据分析等功能,实现系统安全防护,保障平台的安全性。</w:t>
      </w:r>
    </w:p>
    <w:p w14:paraId="48345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文章编辑及发布管理模式改进</w:t>
      </w:r>
    </w:p>
    <w:p w14:paraId="05DEB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引入智慧编辑器，实现文章信息一键排版、文章自动上下线、媒体投递。</w:t>
      </w:r>
    </w:p>
    <w:p w14:paraId="7978E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实现组图发布、图片裁剪、视频上传、手机资源同步共享，同时建设资源库。</w:t>
      </w:r>
    </w:p>
    <w:p w14:paraId="38C86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敏感词全面预检，内容安全保障</w:t>
      </w:r>
    </w:p>
    <w:p w14:paraId="5E8CE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建立内容安全管控体系，实现敏感信息、错别字、隐私信息、非法链接的监测校对。</w:t>
      </w:r>
    </w:p>
    <w:p w14:paraId="7A94B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支持发布后定期检查，所有敏感信息全量扫描并形成报告，支持留存预检记录、扫描记录等。</w:t>
      </w:r>
    </w:p>
    <w:p w14:paraId="754C30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 媒体资源整合与素材多渠道汇聚</w:t>
      </w:r>
    </w:p>
    <w:p w14:paraId="72CF2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统一媒体资源，实现微博、微信等多渠道信息互通，提高资源整体利用率。</w:t>
      </w:r>
    </w:p>
    <w:p w14:paraId="2A00A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实现媒体素材的多渠道采集汇聚、统一编辑加工入库、各平台素材多元发布、稿件一键投递至多个平台等。</w:t>
      </w:r>
    </w:p>
    <w:p w14:paraId="156FA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传播效果统一监测分析，粉丝数量、发文数据、访问数据、阅读数据、支持全面统计及数据分析。</w:t>
      </w:r>
    </w:p>
    <w:p w14:paraId="2E0A1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6.用户与权限管理</w:t>
      </w:r>
    </w:p>
    <w:p w14:paraId="3F9F1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权限划分方式高内聚低耦合，权限划分带来不同操作空间，杜绝越权操作现象，支持按照角色及部门批量赋权。</w:t>
      </w:r>
    </w:p>
    <w:p w14:paraId="165BFB0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建设效果</w:t>
      </w:r>
    </w:p>
    <w:p w14:paraId="7C2FCC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学校形象提升</w:t>
      </w:r>
    </w:p>
    <w:p w14:paraId="43FF7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网站形象提升，加强学校对外宣传，提高整体影响力。</w:t>
      </w:r>
    </w:p>
    <w:p w14:paraId="4F650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安全体系构建</w:t>
      </w:r>
    </w:p>
    <w:p w14:paraId="284DC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站点底层安全架构对标等保全面升级。采用等保2.0标准，提高全面主动防御、动态防御、整体防控和精准防护能力。</w:t>
      </w:r>
    </w:p>
    <w:p w14:paraId="4CCFD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文章内容发布效率提升</w:t>
      </w:r>
    </w:p>
    <w:p w14:paraId="32642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提供新的内容创作中心支持利用写作模板进行文章创作，系统内置多套特殊场景模板，可快速实现特殊格式的文章创作与发布。</w:t>
      </w:r>
    </w:p>
    <w:p w14:paraId="4AFC0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内容安全全面管控</w:t>
      </w:r>
    </w:p>
    <w:p w14:paraId="22A95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引入内容安全监测手段，敏感信息及时修改，保障内容质量。</w:t>
      </w:r>
    </w:p>
    <w:p w14:paraId="01534B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 媒体资源共享</w:t>
      </w:r>
    </w:p>
    <w:p w14:paraId="1C620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媒体资源整合，实现各媒体内容互通，提高资源整体利用率。</w:t>
      </w:r>
    </w:p>
    <w:p w14:paraId="31FD0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 网页防篡改系统建设，页面防护能力提升</w:t>
      </w:r>
    </w:p>
    <w:p w14:paraId="5BA627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实现对静态网页和脚本的实时检测和恢复，保护数据库中的动态内容免受来自于Web的攻击和篡改，彻底解决网页被防篡改问题。</w:t>
      </w:r>
    </w:p>
    <w:tbl>
      <w:tblPr>
        <w:tblStyle w:val="28"/>
        <w:tblW w:w="9630" w:type="dxa"/>
        <w:tblInd w:w="-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275"/>
        <w:gridCol w:w="8355"/>
      </w:tblGrid>
      <w:tr w14:paraId="13B96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22" w:hRule="atLeast"/>
        </w:trPr>
        <w:tc>
          <w:tcPr>
            <w:tcW w:w="1275" w:type="dxa"/>
            <w:shd w:val="clear" w:color="auto" w:fill="auto"/>
            <w:noWrap w:val="0"/>
            <w:vAlign w:val="center"/>
          </w:tcPr>
          <w:p w14:paraId="7A336BCA">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w:t>
            </w:r>
            <w:r>
              <w:rPr>
                <w:rFonts w:hint="eastAsia" w:ascii="宋体" w:hAnsi="宋体" w:eastAsia="宋体" w:cs="宋体"/>
                <w:b/>
                <w:bCs/>
                <w:color w:val="auto"/>
                <w:kern w:val="0"/>
                <w:sz w:val="24"/>
                <w:szCs w:val="24"/>
                <w:highlight w:val="none"/>
                <w:lang w:bidi="ar"/>
              </w:rPr>
              <w:t>名称</w:t>
            </w:r>
          </w:p>
        </w:tc>
        <w:tc>
          <w:tcPr>
            <w:tcW w:w="8355" w:type="dxa"/>
            <w:shd w:val="clear" w:color="auto" w:fill="auto"/>
            <w:noWrap w:val="0"/>
            <w:vAlign w:val="center"/>
          </w:tcPr>
          <w:p w14:paraId="30E306E0">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描述</w:t>
            </w:r>
          </w:p>
        </w:tc>
      </w:tr>
      <w:tr w14:paraId="5ECFD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507" w:hRule="atLeast"/>
        </w:trPr>
        <w:tc>
          <w:tcPr>
            <w:tcW w:w="1275" w:type="dxa"/>
            <w:shd w:val="clear" w:color="auto" w:fill="auto"/>
            <w:noWrap w:val="0"/>
            <w:vAlign w:val="center"/>
          </w:tcPr>
          <w:p w14:paraId="00E41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全媒体网站管理平台</w:t>
            </w:r>
          </w:p>
        </w:tc>
        <w:tc>
          <w:tcPr>
            <w:tcW w:w="8355" w:type="dxa"/>
            <w:shd w:val="clear" w:color="auto" w:fill="auto"/>
            <w:noWrap w:val="0"/>
            <w:vAlign w:val="center"/>
          </w:tcPr>
          <w:p w14:paraId="7FC9C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按照等保2.0标准全面重构网站安全体系，对网站进行全面主动防护，提供全闭环安全检查、动态防护、安全检测以及应急响应。同时满足国家和教育部对IPv6的政策要求，提供国产化操作系统、数据库、中间件等适配能力。构建一个更安全、更统一、更智能的全媒体管理平台，助力学校实现网站智能化管理的能力，实现立体多元化的信息传播建设。</w:t>
            </w:r>
          </w:p>
        </w:tc>
      </w:tr>
      <w:tr w14:paraId="5022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trPr>
        <w:tc>
          <w:tcPr>
            <w:tcW w:w="1275" w:type="dxa"/>
            <w:shd w:val="clear" w:color="auto" w:fill="auto"/>
            <w:noWrap/>
            <w:vAlign w:val="center"/>
          </w:tcPr>
          <w:p w14:paraId="1E0D0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网页防篡改系统</w:t>
            </w:r>
          </w:p>
        </w:tc>
        <w:tc>
          <w:tcPr>
            <w:tcW w:w="8355" w:type="dxa"/>
            <w:shd w:val="clear" w:color="auto" w:fill="auto"/>
            <w:noWrap w:val="0"/>
            <w:vAlign w:val="center"/>
          </w:tcPr>
          <w:p w14:paraId="49863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页防篡改系统，能够对网站整体运行、管理和维护提供安全防护，对系统资源占用进行管理，对页面定期检测，不仅实现了对静态网页和脚本的实时检测和恢复，更可以保护数据库中的动态内容免受来自于web的攻击和篡改，也可以支持离线/链接状态下的防篡改保护，彻底解决网页防篡改问题。支持与网站平台无缝衔接。</w:t>
            </w:r>
          </w:p>
        </w:tc>
      </w:tr>
      <w:tr w14:paraId="0ECB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trPr>
        <w:tc>
          <w:tcPr>
            <w:tcW w:w="1275" w:type="dxa"/>
            <w:shd w:val="clear" w:color="auto" w:fill="auto"/>
            <w:noWrap/>
            <w:vAlign w:val="center"/>
          </w:tcPr>
          <w:p w14:paraId="439B2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内容安全预检</w:t>
            </w:r>
          </w:p>
        </w:tc>
        <w:tc>
          <w:tcPr>
            <w:tcW w:w="8355" w:type="dxa"/>
            <w:shd w:val="clear" w:color="auto" w:fill="auto"/>
            <w:noWrap w:val="0"/>
            <w:vAlign w:val="center"/>
          </w:tcPr>
          <w:p w14:paraId="07ADA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提供三年的</w:t>
            </w:r>
            <w:r>
              <w:rPr>
                <w:rFonts w:hint="eastAsia" w:ascii="宋体" w:hAnsi="宋体" w:eastAsia="宋体" w:cs="宋体"/>
                <w:color w:val="auto"/>
                <w:kern w:val="0"/>
                <w:sz w:val="24"/>
                <w:szCs w:val="24"/>
                <w:highlight w:val="none"/>
                <w:lang w:bidi="ar"/>
              </w:rPr>
              <w:t>内容安全预检</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内容在线预检系统可与网站平台无缝集成，构建云端集成在线预检能力，支持网站/微信公众号/微博等内容发布的事前在线检测，预防发布内容出现重大表述错误、异常链接、疑似隐私信息及易错字等安全问题，从源头处彻底杜绝敏感信息对外流出，保障网站及新媒体内容发布源头主阵地。</w:t>
            </w:r>
          </w:p>
        </w:tc>
      </w:tr>
      <w:tr w14:paraId="12C5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057" w:hRule="atLeast"/>
        </w:trPr>
        <w:tc>
          <w:tcPr>
            <w:tcW w:w="1275" w:type="dxa"/>
            <w:shd w:val="clear" w:color="auto" w:fill="auto"/>
            <w:noWrap/>
            <w:vAlign w:val="center"/>
          </w:tcPr>
          <w:p w14:paraId="4DA1CF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响应式定制建站定制</w:t>
            </w:r>
          </w:p>
        </w:tc>
        <w:tc>
          <w:tcPr>
            <w:tcW w:w="8355" w:type="dxa"/>
            <w:shd w:val="clear" w:color="auto" w:fill="auto"/>
            <w:noWrap w:val="0"/>
            <w:vAlign w:val="center"/>
          </w:tcPr>
          <w:p w14:paraId="2F0BA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供响应式定制建站，包括网页定制设计（含首页页面、栏目页面、内容页面、网站图片等）、栏目框架搭建（首页栏目、一级栏目、子栏目等）、页面响应式裁切及效果测试、网站功能及组件实施、文章源建设、栏目资料对接等。并在不同分辨率下对网站页面整体进行优化调整，呈现响应式定制设计网站。</w:t>
            </w:r>
          </w:p>
        </w:tc>
      </w:tr>
      <w:tr w14:paraId="3590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87" w:hRule="atLeast"/>
        </w:trPr>
        <w:tc>
          <w:tcPr>
            <w:tcW w:w="1275" w:type="dxa"/>
            <w:shd w:val="clear" w:color="auto" w:fill="auto"/>
            <w:noWrap/>
            <w:vAlign w:val="center"/>
          </w:tcPr>
          <w:p w14:paraId="713AD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部署</w:t>
            </w:r>
          </w:p>
        </w:tc>
        <w:tc>
          <w:tcPr>
            <w:tcW w:w="8355" w:type="dxa"/>
            <w:shd w:val="clear" w:color="auto" w:fill="auto"/>
            <w:noWrap w:val="0"/>
            <w:vAlign w:val="center"/>
          </w:tcPr>
          <w:p w14:paraId="0FA61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提供网站平台安装部署，包括操作系统、第三方系统</w:t>
            </w:r>
            <w:r>
              <w:rPr>
                <w:rFonts w:hint="eastAsia" w:ascii="宋体" w:hAnsi="宋体" w:eastAsia="宋体" w:cs="宋体"/>
                <w:color w:val="auto"/>
                <w:kern w:val="0"/>
                <w:sz w:val="24"/>
                <w:szCs w:val="24"/>
                <w:highlight w:val="none"/>
                <w:lang w:val="en-US" w:eastAsia="zh-CN" w:bidi="ar"/>
              </w:rPr>
              <w:t>所有系统的</w:t>
            </w:r>
            <w:r>
              <w:rPr>
                <w:rFonts w:hint="eastAsia" w:ascii="宋体" w:hAnsi="宋体" w:eastAsia="宋体" w:cs="宋体"/>
                <w:color w:val="auto"/>
                <w:kern w:val="0"/>
                <w:sz w:val="24"/>
                <w:szCs w:val="24"/>
                <w:highlight w:val="none"/>
                <w:lang w:bidi="ar"/>
              </w:rPr>
              <w:t>的采购与安装。</w:t>
            </w:r>
          </w:p>
        </w:tc>
      </w:tr>
      <w:tr w14:paraId="70E2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92" w:hRule="atLeast"/>
        </w:trPr>
        <w:tc>
          <w:tcPr>
            <w:tcW w:w="1275" w:type="dxa"/>
            <w:shd w:val="clear" w:color="auto" w:fill="auto"/>
            <w:noWrap/>
            <w:vAlign w:val="center"/>
          </w:tcPr>
          <w:p w14:paraId="5D0F4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服务器</w:t>
            </w:r>
          </w:p>
        </w:tc>
        <w:tc>
          <w:tcPr>
            <w:tcW w:w="8355" w:type="dxa"/>
            <w:shd w:val="clear" w:color="auto" w:fill="auto"/>
            <w:noWrap w:val="0"/>
            <w:vAlign w:val="center"/>
          </w:tcPr>
          <w:p w14:paraId="35809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提供主流品牌服务器参数不低于2颗4310 2.1G 12C/64G内存（2*32G DDR4 3200）/4*960G SSD/RAID5卡/2个千兆电口+2个万兆光口（满配光模块）/2*900W电源/导轨 </w:t>
            </w:r>
          </w:p>
        </w:tc>
      </w:tr>
      <w:tr w14:paraId="2DC6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91" w:hRule="atLeast"/>
        </w:trPr>
        <w:tc>
          <w:tcPr>
            <w:tcW w:w="1275" w:type="dxa"/>
            <w:shd w:val="clear" w:color="auto" w:fill="auto"/>
            <w:noWrap/>
            <w:vAlign w:val="center"/>
          </w:tcPr>
          <w:p w14:paraId="0E28E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培训</w:t>
            </w:r>
          </w:p>
        </w:tc>
        <w:tc>
          <w:tcPr>
            <w:tcW w:w="8355" w:type="dxa"/>
            <w:shd w:val="clear" w:color="auto" w:fill="auto"/>
            <w:noWrap w:val="0"/>
            <w:vAlign w:val="center"/>
          </w:tcPr>
          <w:p w14:paraId="784B7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现场培训网站管理员文章发布、维护等内容，帮助管理员快速掌握网站管理技巧</w:t>
            </w:r>
          </w:p>
        </w:tc>
      </w:tr>
      <w:tr w14:paraId="41AF1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5" w:hRule="atLeast"/>
        </w:trPr>
        <w:tc>
          <w:tcPr>
            <w:tcW w:w="1275" w:type="dxa"/>
            <w:shd w:val="clear" w:color="auto" w:fill="auto"/>
            <w:noWrap/>
            <w:vAlign w:val="center"/>
          </w:tcPr>
          <w:p w14:paraId="7F329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质保服务</w:t>
            </w:r>
          </w:p>
        </w:tc>
        <w:tc>
          <w:tcPr>
            <w:tcW w:w="8355" w:type="dxa"/>
            <w:shd w:val="clear" w:color="auto" w:fill="auto"/>
            <w:noWrap w:val="0"/>
            <w:vAlign w:val="center"/>
          </w:tcPr>
          <w:p w14:paraId="4B803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提供</w:t>
            </w:r>
            <w:r>
              <w:rPr>
                <w:rFonts w:hint="eastAsia" w:ascii="宋体" w:hAnsi="宋体" w:eastAsia="宋体" w:cs="宋体"/>
                <w:color w:val="auto"/>
                <w:kern w:val="0"/>
                <w:sz w:val="24"/>
                <w:szCs w:val="24"/>
                <w:highlight w:val="none"/>
                <w:lang w:val="en-US" w:eastAsia="zh-CN" w:bidi="ar"/>
              </w:rPr>
              <w:t>三年的免费</w:t>
            </w:r>
            <w:r>
              <w:rPr>
                <w:rFonts w:hint="eastAsia" w:ascii="宋体" w:hAnsi="宋体" w:eastAsia="宋体" w:cs="宋体"/>
                <w:color w:val="auto"/>
                <w:kern w:val="0"/>
                <w:sz w:val="24"/>
                <w:szCs w:val="24"/>
                <w:highlight w:val="none"/>
                <w:lang w:bidi="ar"/>
              </w:rPr>
              <w:t>保修服务，内容包括产品技术支持、bug补丁、产品使用指导、网站故障技术支持等；原厂商7*24小时技术支持服务、线上公开学习资料专享服务、产品bug修改、平台故障诊断、远程操作支持服务、安全漏洞修复、平台故障修复</w:t>
            </w:r>
            <w:r>
              <w:rPr>
                <w:rFonts w:hint="eastAsia" w:ascii="宋体" w:hAnsi="宋体" w:eastAsia="宋体" w:cs="宋体"/>
                <w:color w:val="auto"/>
                <w:kern w:val="0"/>
                <w:sz w:val="24"/>
                <w:szCs w:val="24"/>
                <w:highlight w:val="none"/>
                <w:lang w:eastAsia="zh-CN" w:bidi="ar"/>
              </w:rPr>
              <w:t>。</w:t>
            </w:r>
          </w:p>
        </w:tc>
      </w:tr>
    </w:tbl>
    <w:p w14:paraId="70F20449">
      <w:pPr>
        <w:pStyle w:val="2"/>
        <w:keepNext/>
        <w:keepLines/>
        <w:pageBreakBefore w:val="0"/>
        <w:widowControl w:val="0"/>
        <w:numPr>
          <w:ilvl w:val="0"/>
          <w:numId w:val="0"/>
        </w:numPr>
        <w:kinsoku/>
        <w:wordWrap/>
        <w:overflowPunct/>
        <w:topLinePunct w:val="0"/>
        <w:autoSpaceDE/>
        <w:autoSpaceDN/>
        <w:bidi w:val="0"/>
        <w:adjustRightInd/>
        <w:snapToGrid/>
        <w:spacing w:before="10" w:after="1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44"/>
          <w:sz w:val="24"/>
          <w:szCs w:val="24"/>
          <w:highlight w:val="none"/>
          <w:lang w:val="en-US" w:eastAsia="zh-CN" w:bidi="ar-SA"/>
        </w:rPr>
        <w:t>三、</w:t>
      </w:r>
      <w:r>
        <w:rPr>
          <w:rFonts w:hint="eastAsia" w:ascii="宋体" w:hAnsi="宋体" w:eastAsia="宋体" w:cs="宋体"/>
          <w:color w:val="auto"/>
          <w:sz w:val="24"/>
          <w:szCs w:val="24"/>
          <w:highlight w:val="none"/>
        </w:rPr>
        <w:t>系统具体技术参数</w:t>
      </w:r>
    </w:p>
    <w:p w14:paraId="0FBFC5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注：1.</w:t>
      </w:r>
      <w:r>
        <w:rPr>
          <w:rFonts w:hint="eastAsia" w:asciiTheme="minorEastAsia" w:hAnsiTheme="minorEastAsia" w:eastAsiaTheme="minorEastAsia" w:cstheme="minorEastAsia"/>
          <w:b/>
          <w:bCs/>
          <w:color w:val="auto"/>
          <w:kern w:val="2"/>
          <w:sz w:val="24"/>
          <w:szCs w:val="24"/>
          <w:highlight w:val="none"/>
          <w:lang w:val="en-US" w:eastAsia="zh-CN" w:bidi="ar-SA"/>
        </w:rPr>
        <w:t>标注“★”符号的为重要技术参数，共1项须全部满足，若不响应或负偏离按无效标处理。</w:t>
      </w:r>
    </w:p>
    <w:p w14:paraId="4184904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标注“▲”符号的为主要技术参数，投标时需提供对应参数的功能截图及承诺函（升级后的网站具有该功能），承诺函格式自拟，共15条，每满足一条得2分，共计30分。未能提供截图（或承诺函）、截图（或承诺）内容不完整均</w:t>
      </w:r>
      <w:r>
        <w:rPr>
          <w:rFonts w:hint="eastAsia" w:asciiTheme="minorEastAsia" w:hAnsiTheme="minorEastAsia" w:eastAsiaTheme="minorEastAsia" w:cstheme="minorEastAsia"/>
          <w:b/>
          <w:bCs/>
          <w:color w:val="auto"/>
          <w:sz w:val="24"/>
          <w:szCs w:val="24"/>
          <w:highlight w:val="none"/>
        </w:rPr>
        <w:t>视为不满足要求</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对应参数不得分</w:t>
      </w:r>
      <w:r>
        <w:rPr>
          <w:rFonts w:hint="eastAsia" w:asciiTheme="minorEastAsia" w:hAnsiTheme="minorEastAsia" w:eastAsiaTheme="minorEastAsia" w:cstheme="minorEastAsia"/>
          <w:b/>
          <w:bCs/>
          <w:color w:val="auto"/>
          <w:sz w:val="24"/>
          <w:szCs w:val="24"/>
          <w:highlight w:val="none"/>
        </w:rPr>
        <w:t>。</w:t>
      </w:r>
    </w:p>
    <w:tbl>
      <w:tblPr>
        <w:tblStyle w:val="28"/>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60"/>
        <w:gridCol w:w="8329"/>
      </w:tblGrid>
      <w:tr w14:paraId="7C03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7A12009F">
            <w:pPr>
              <w:keepNext w:val="0"/>
              <w:keepLines w:val="0"/>
              <w:suppressLineNumbers w:val="0"/>
              <w:spacing w:before="0" w:beforeAutospacing="0" w:after="0" w:afterAutospacing="0"/>
              <w:ind w:left="0" w:right="0"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960" w:type="dxa"/>
            <w:noWrap w:val="0"/>
            <w:vAlign w:val="center"/>
          </w:tcPr>
          <w:p w14:paraId="3082FD2C">
            <w:pPr>
              <w:keepNext w:val="0"/>
              <w:keepLines w:val="0"/>
              <w:suppressLineNumbers w:val="0"/>
              <w:wordWrap w:val="0"/>
              <w:spacing w:before="0" w:beforeAutospacing="0" w:after="0" w:afterAutospacing="0"/>
              <w:ind w:left="0" w:right="0"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指标项</w:t>
            </w:r>
          </w:p>
        </w:tc>
        <w:tc>
          <w:tcPr>
            <w:tcW w:w="8329" w:type="dxa"/>
            <w:noWrap w:val="0"/>
            <w:vAlign w:val="center"/>
          </w:tcPr>
          <w:p w14:paraId="5738A3A1">
            <w:pPr>
              <w:keepNext w:val="0"/>
              <w:keepLines w:val="0"/>
              <w:suppressLineNumbers w:val="0"/>
              <w:wordWrap w:val="0"/>
              <w:adjustRightInd w:val="0"/>
              <w:snapToGrid w:val="0"/>
              <w:spacing w:before="0" w:beforeAutospacing="0" w:after="0" w:afterAutospacing="0"/>
              <w:ind w:left="0" w:right="0" w:firstLine="482"/>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指标要求</w:t>
            </w:r>
          </w:p>
        </w:tc>
      </w:tr>
      <w:tr w14:paraId="528B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7D0A2068">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2AF532E1">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总体技术要求</w:t>
            </w:r>
          </w:p>
        </w:tc>
        <w:tc>
          <w:tcPr>
            <w:tcW w:w="8329" w:type="dxa"/>
            <w:noWrap w:val="0"/>
            <w:vAlign w:val="center"/>
          </w:tcPr>
          <w:p w14:paraId="44E9AA13">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全媒体管理平台软件要求采用B/S结构设计、JAVA语言开发、J2EE技术架构。</w:t>
            </w:r>
          </w:p>
          <w:p w14:paraId="1E6648B3">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系统通过一套平台实现微信、微博、网站、大屏界面等全媒体的管理，无需重复多次登录不同后台。</w:t>
            </w:r>
          </w:p>
          <w:p w14:paraId="23EC5A92">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在国产化兼容方面，系统需支持当前平台需要确保与国产主流芯片、国产操作系统、国产数据库及国产应用深度兼容适配，为系统后续安全平稳运转，提供底层信创兼容支撑。</w:t>
            </w:r>
          </w:p>
          <w:p w14:paraId="458AA29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系统需具有良好的跨平台特性，支持基于主流Linux的平台搭建；支持Tomcat、Apache等应用服务器；支持Oracle、SQL Server、MySQL、PostgreSQL等多种主流数据库。</w:t>
            </w:r>
          </w:p>
          <w:p w14:paraId="652BB695">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兼容微软IE、谷歌Chrome、360浏览器、苹果Safari、QQ浏览器、火狐Firefox等多种浏览器。</w:t>
            </w:r>
          </w:p>
          <w:p w14:paraId="0FE8A99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rPr>
              <w:t>系统要求支持移动网站建设，实现网站页面和文章内容、视频、图片等资源的全适配，兼容全部主流智能手机的操作系统：包括苹果IOS、安卓Android等，兼容不同设备的分辨率。</w:t>
            </w:r>
          </w:p>
          <w:p w14:paraId="69A19929">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rPr>
              <w:t>系统需要具有完善的权限和用户管理体系，可以适应单位内各类角色管理员的管理和使用，提供与统一身份认证系统的数据接口，并具有集成能力。</w:t>
            </w:r>
          </w:p>
          <w:p w14:paraId="5353A7C5">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rPr>
              <w:t>系统安装可根据单位内实际情况选择不同的部署方式，要求支持常见的几类部署方式（单服务器部署、多服务器部署、虚拟化部署、集群化部署等），可实现动态服务器和静态服务器分开部署。</w:t>
            </w:r>
          </w:p>
          <w:p w14:paraId="4935E4EE">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▲系统应支持反向代理设置，方便获取客户端的真实IP地址，能够添加可信任的反向代理。对于反向代理服务器，支持添加至可信列表。</w:t>
            </w:r>
          </w:p>
          <w:p w14:paraId="516D716E">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(10)</w:t>
            </w:r>
            <w:r>
              <w:rPr>
                <w:rFonts w:hint="eastAsia" w:ascii="宋体" w:hAnsi="宋体" w:eastAsia="宋体" w:cs="宋体"/>
                <w:color w:val="auto"/>
                <w:kern w:val="0"/>
                <w:sz w:val="24"/>
                <w:szCs w:val="24"/>
                <w:highlight w:val="none"/>
              </w:rPr>
              <w:t>系统针对IPv6提供全面访问支持，同时支持基于IPv4和IPv6地址的访问控制，访问记录及统计。</w:t>
            </w:r>
          </w:p>
          <w:p w14:paraId="6D4ABA4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rPr>
              <w:t>系统全面支持HTTPS安全传输协议。</w:t>
            </w:r>
          </w:p>
        </w:tc>
      </w:tr>
      <w:tr w14:paraId="6857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352B8345">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0D98446F">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平台登录管理</w:t>
            </w:r>
          </w:p>
        </w:tc>
        <w:tc>
          <w:tcPr>
            <w:tcW w:w="8329" w:type="dxa"/>
            <w:noWrap w:val="0"/>
            <w:vAlign w:val="center"/>
          </w:tcPr>
          <w:p w14:paraId="325C8E07">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系统需支持部门站点、系统管理、内容管理登录入口的独立设定，为用户提供清晰的入口路径。需响应安全相关政策要求，系统内需设定系统管理员、审计管理员、安全管理员，并实现后台三员管理权限灵活设定。</w:t>
            </w:r>
          </w:p>
          <w:p w14:paraId="70D4EFA8">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▲用户登录入口处需要提供专门的系统后台管理制度或站群安全制度阅览空间，帮助学校实现标准化管理规范的宣导与展示。</w:t>
            </w:r>
          </w:p>
        </w:tc>
      </w:tr>
      <w:tr w14:paraId="216F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68C607EB">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0BC88CDD">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工作桌面管理工具</w:t>
            </w:r>
          </w:p>
        </w:tc>
        <w:tc>
          <w:tcPr>
            <w:tcW w:w="8329" w:type="dxa"/>
            <w:noWrap w:val="0"/>
            <w:vAlign w:val="center"/>
          </w:tcPr>
          <w:p w14:paraId="13F5DCED">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（1）▲系统工作台支持查看站点情况、异常管理员、系统运维的异常备份及磁盘空间情况，可对服务器连通性一键检测，便于管理员掌握一手站群运维信息。</w:t>
            </w:r>
          </w:p>
          <w:p w14:paraId="49B4D2BD">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（2）</w:t>
            </w:r>
            <w:r>
              <w:rPr>
                <w:rFonts w:hint="eastAsia" w:ascii="宋体" w:hAnsi="宋体" w:eastAsia="宋体" w:cs="宋体"/>
                <w:color w:val="auto"/>
                <w:kern w:val="0"/>
                <w:sz w:val="24"/>
                <w:szCs w:val="24"/>
                <w:highlight w:val="none"/>
                <w:lang w:val="en-US" w:eastAsia="zh-CN" w:bidi="ar-SA"/>
              </w:rPr>
              <w:t>系统工作台支持系统安全检测结果呈现，呈现内容至少包含站群安全评分、检测时间、各类检测项目数量，针对平台体检结果修复及防护日志查阅提供直达入口，确保安全问题快速处理。</w:t>
            </w:r>
          </w:p>
          <w:p w14:paraId="56159F84">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（3）</w:t>
            </w:r>
            <w:r>
              <w:rPr>
                <w:rFonts w:hint="eastAsia" w:ascii="宋体" w:hAnsi="宋体" w:eastAsia="宋体" w:cs="宋体"/>
                <w:color w:val="auto"/>
                <w:kern w:val="0"/>
                <w:sz w:val="24"/>
                <w:szCs w:val="24"/>
                <w:highlight w:val="none"/>
                <w:lang w:val="en-US" w:eastAsia="zh-CN" w:bidi="ar-SA"/>
              </w:rPr>
              <w:t>部门站点端提供部门工作台，需能够展示当前部门之下网站、微信号、微博号、电子屏等部门资产数量，每种资产可以查看当前所属管理员情况，上级部门管理员可查看下级部门资产。</w:t>
            </w:r>
          </w:p>
          <w:p w14:paraId="6F4B7ADD">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（4）</w:t>
            </w:r>
            <w:r>
              <w:rPr>
                <w:rFonts w:hint="eastAsia" w:ascii="宋体" w:hAnsi="宋体" w:eastAsia="宋体" w:cs="宋体"/>
                <w:color w:val="auto"/>
                <w:kern w:val="0"/>
                <w:sz w:val="24"/>
                <w:szCs w:val="24"/>
                <w:highlight w:val="none"/>
                <w:lang w:val="en-US" w:eastAsia="zh-CN" w:bidi="ar-SA"/>
              </w:rPr>
              <w:t>部门工作台支持展示部门之下站点总访问量、总发文量热门搜索词云及访问趋势等关键运营数据，访问趋势需支持按照近一年、近一月等不同时间维度数据呈现。</w:t>
            </w:r>
          </w:p>
        </w:tc>
      </w:tr>
      <w:tr w14:paraId="3B76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7283862C">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5161BD6E">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站群管理</w:t>
            </w:r>
          </w:p>
        </w:tc>
        <w:tc>
          <w:tcPr>
            <w:tcW w:w="8329" w:type="dxa"/>
            <w:noWrap w:val="0"/>
            <w:vAlign w:val="center"/>
          </w:tcPr>
          <w:p w14:paraId="775DEF3A">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（1）站点管理支持按部门管理站点</w:t>
            </w:r>
            <w:r>
              <w:rPr>
                <w:rFonts w:hint="eastAsia" w:ascii="宋体" w:hAnsi="宋体" w:eastAsia="宋体" w:cs="宋体"/>
                <w:color w:val="auto"/>
                <w:kern w:val="0"/>
                <w:sz w:val="24"/>
                <w:szCs w:val="24"/>
                <w:highlight w:val="none"/>
                <w:lang w:val="en-US" w:eastAsia="zh-CN" w:bidi="ar-SA"/>
              </w:rPr>
              <w:tab/>
            </w:r>
            <w:r>
              <w:rPr>
                <w:rFonts w:hint="eastAsia" w:ascii="宋体" w:hAnsi="宋体" w:eastAsia="宋体" w:cs="宋体"/>
                <w:color w:val="auto"/>
                <w:kern w:val="0"/>
                <w:sz w:val="24"/>
                <w:szCs w:val="24"/>
                <w:highlight w:val="none"/>
                <w:lang w:val="en-US" w:eastAsia="zh-CN" w:bidi="ar-SA"/>
              </w:rPr>
              <w:t>，支持部门树的维护，可新增下级单位，针对每个部门要求能够展示部门成员数量、部门管理员联系方式等内容；能够采用部门视角盘点及管理每个部门的网站、新媒体以及大屏资产；</w:t>
            </w:r>
          </w:p>
          <w:p w14:paraId="76C9156F">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支持部门创建站点及电子屏的申请流程实现线上化处理，可实现对部门管理员的建站申请进行审批处理，可显示申请部门、申请人、申请时间及处理状态，可选择同意或驳回操作，要求对每个部门申请历史记录可查询。</w:t>
            </w:r>
          </w:p>
          <w:p w14:paraId="58524AB8">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系统提供一键关停功能，可对当前平台站点统一进行关停，当处于一键关停状态中，外界无法针对关停站点进行访问，同时支持一键启用，对关停站点进行恢复。能够实现针对当前站点批量实现停止维护、停止浏览、停止维护和浏览、正常运转等多种管控模式。</w:t>
            </w:r>
          </w:p>
          <w:p w14:paraId="0AC0949E">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（4）支持站点启停生命周期管理，设置站点自动启停计划，系统自动执行站点的启停时间。</w:t>
            </w:r>
          </w:p>
          <w:p w14:paraId="323B9283">
            <w:pPr>
              <w:pStyle w:val="9"/>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（5）支持网站一键置灰、支持仅网站首页置灰。</w:t>
            </w:r>
          </w:p>
        </w:tc>
      </w:tr>
      <w:tr w14:paraId="2D35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1B24831B">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61F472C1">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网站建设</w:t>
            </w:r>
          </w:p>
        </w:tc>
        <w:tc>
          <w:tcPr>
            <w:tcW w:w="8329" w:type="dxa"/>
            <w:noWrap w:val="0"/>
            <w:vAlign w:val="center"/>
          </w:tcPr>
          <w:p w14:paraId="169EB499">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▲系统支持对信息中心官方建设网站进行标记认证，规避后续二级单位自发建站，导致技术不规范且未经过安全评审的问题，经过安全评审后的网站可实现加V标记。</w:t>
            </w:r>
          </w:p>
          <w:p w14:paraId="301E6181">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在系统使用设计好的HTML模板进行制作时，需兼容所有主流设计工具生成的HTML模板，直接选择当前HTML文件进行上传。</w:t>
            </w:r>
          </w:p>
          <w:p w14:paraId="27914161">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系统提供350多种不同类型的常用组件及移动化组件，全面支持DIV+CSS架构，用来实现网站丰富多彩的展现形式，各类组件之间可以相互复制副本或引用，便于同源数据的快速展示。</w:t>
            </w:r>
          </w:p>
          <w:p w14:paraId="558AD75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支持采用响应式技术或多屏适配技术，对网站实现多终端访问界面优化展现，原有网站组件不需要重新配置，移动化网站提供模拟器预览功能，支持多种手机分辨率展示效果，确保发布页面的准确性和兼容性。</w:t>
            </w:r>
          </w:p>
          <w:p w14:paraId="4DC57BEB">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0"/>
                <w:sz w:val="24"/>
                <w:szCs w:val="24"/>
                <w:highlight w:val="none"/>
              </w:rPr>
              <w:t>系统支持电子大屏建设与内容发布展示，需提供至少8套党建、迎新、活动等主题的电子屏模版。</w:t>
            </w:r>
          </w:p>
        </w:tc>
      </w:tr>
      <w:tr w14:paraId="0561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40D35322">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0F0091D6">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内容创作管理</w:t>
            </w:r>
          </w:p>
        </w:tc>
        <w:tc>
          <w:tcPr>
            <w:tcW w:w="8329" w:type="dxa"/>
            <w:noWrap w:val="0"/>
            <w:vAlign w:val="center"/>
          </w:tcPr>
          <w:p w14:paraId="528EB35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系统需围绕着发稿人需求搭建内容创作中心，可实现文章快速新增，对用户的发文、撤稿、暂存等多种状态的内容进行管理。</w:t>
            </w:r>
          </w:p>
          <w:p w14:paraId="3E86014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0"/>
                <w:sz w:val="24"/>
                <w:szCs w:val="24"/>
                <w:highlight w:val="none"/>
              </w:rPr>
              <w:t>系统需提供至少6套的文章展示模板，帮助用户对一些特殊形式的文章快速实现排版和样式调整。</w:t>
            </w:r>
          </w:p>
          <w:p w14:paraId="3CBAC67E">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系统应具有简单、稳定、易用的文章编辑器，并且支持Word/WPS文档一键原样在线导入，导入后的文字、图片、表格等格式与原样保持一致，草稿编辑过程支持自动定期保存。</w:t>
            </w:r>
          </w:p>
          <w:p w14:paraId="3D29DD1A">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系统应具备“云导入”功能，在不需要下载多余插件的情况下，就能够实现Word文档的直接导入。导入过程能够自动识别word的标题、关键字、发布日期、摘要等word中的关键信息，并自动填充到编辑器对应字段位置。</w:t>
            </w:r>
          </w:p>
          <w:p w14:paraId="61B643BA">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提供文章编辑一键排版工具，一键排版功能支持多种预设样式，排版过程会针对文章内容源代码进行规范化整理，确保多种浏览器更好的兼容。</w:t>
            </w:r>
          </w:p>
          <w:p w14:paraId="30C552D2">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系统支持pdf发布。用户可以对红头文件、重要的通知公告等这类文件在后台选择上传Word文档，系统能够自动转化成pdf文件对外进行发布。</w:t>
            </w:r>
          </w:p>
          <w:p w14:paraId="6AB3F525">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▲系统支持多个标题图上传。可针对文章发布的标题图和正文图片进行在线裁剪，支持多种比例裁剪、翻转、镜像，满足新闻图片的展现需求。</w:t>
            </w:r>
          </w:p>
          <w:p w14:paraId="1D022516">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支持表格样式格式化功能，对表格的尺寸，边框，单元格对齐方式、单元格内边距、表格对齐方式等样式一键样式调整，支持内置4种基本的表格样式。</w:t>
            </w:r>
          </w:p>
          <w:p w14:paraId="1DB96185">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支持新闻时效性管理，可以设置新闻上线及下线时间。</w:t>
            </w:r>
          </w:p>
          <w:p w14:paraId="405D6CAA">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支持文章或栏目访问权限管理，可以设置配置对应的访问权限IP规则或可访问角色。</w:t>
            </w:r>
          </w:p>
          <w:p w14:paraId="7BA46A50">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支持文章历史修改过程记录，能够针对文章的不同历史版本，指定两个历史稿件进行同一界面下的双窗口内容比对，针对增删改等不同的修改点，实现不同颜色标记，便于审核人员审核校对。</w:t>
            </w:r>
          </w:p>
          <w:p w14:paraId="4AD95AEE">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文章列支持拖拽式排序，拖拽排序之后保存，无需重新发布，即可实现前端页面文章顺序同步更新。</w:t>
            </w:r>
          </w:p>
          <w:p w14:paraId="06358C74">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rPr>
              <w:t>系统能够记录详细的文章操作日志，可以记录站群系统中被操作文章的网站信息、操作内容、操作类型等信息，支持按照站点和操作类型进行筛选，并具有查询功能，同时支持以Excel文件导出。</w:t>
            </w:r>
          </w:p>
          <w:p w14:paraId="29461A8C">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系统具有可视化审核流程配置功能，需支持以可视化拖拽的形式设置不同栏目的审核体系，亦可以对多个栏目快速设置相同的审核流程。系统内置三审三校审核流模板，能够针对网站栏目、微信、微博快速设计专属的三审三校审核流程。</w:t>
            </w:r>
          </w:p>
          <w:p w14:paraId="61C6ADB3">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rPr>
              <w:t>▲针对文章审核过程，支持一键输入审核意见。支持审核过程附件上传，明确反馈审核信息。</w:t>
            </w:r>
          </w:p>
          <w:p w14:paraId="597A93C6">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rPr>
              <w:t>网站文章提交后支持查看文章当前的审核状态及处理人、处理意见等相关信息。审核记录按照时间轴展示，可查看下一节点待审人。</w:t>
            </w:r>
          </w:p>
          <w:p w14:paraId="19B10A31">
            <w:pPr>
              <w:pStyle w:val="43"/>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rPr>
              <w:t>系统提供云文件库功能，支持所有上传文件自动转存到文件库，可针对资源按照图片、视频、音频等分类进行存储，用户可以使用或删除个人文件，同时可以查看其它管理员共享的公共文件。对文件的引用情况可实现站点、栏目、文章、地址等详细信息的查看。</w:t>
            </w:r>
          </w:p>
        </w:tc>
      </w:tr>
      <w:tr w14:paraId="53A8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2F83B3CD">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51D7AB86">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云端内容安全预检服务与网站群系统对接集成</w:t>
            </w:r>
          </w:p>
        </w:tc>
        <w:tc>
          <w:tcPr>
            <w:tcW w:w="8329" w:type="dxa"/>
            <w:noWrap w:val="0"/>
            <w:vAlign w:val="center"/>
          </w:tcPr>
          <w:p w14:paraId="161128E6">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w:t>
            </w:r>
            <w:r>
              <w:rPr>
                <w:rFonts w:hint="eastAsia" w:ascii="宋体" w:hAnsi="宋体" w:eastAsia="宋体" w:cs="宋体"/>
                <w:color w:val="auto"/>
                <w:sz w:val="24"/>
                <w:szCs w:val="24"/>
                <w:highlight w:val="none"/>
                <w:shd w:val="clear" w:color="auto" w:fill="FFFFFF"/>
              </w:rPr>
              <w:t>提供SaaS化的产品服务</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年，进行发布内容事前在线检测，从发布源头管控高校内容安全。</w:t>
            </w:r>
          </w:p>
          <w:p w14:paraId="052C5DBE">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2.</w:t>
            </w:r>
            <w:r>
              <w:rPr>
                <w:rFonts w:hint="eastAsia" w:ascii="宋体" w:hAnsi="宋体" w:eastAsia="宋体" w:cs="宋体"/>
                <w:color w:val="auto"/>
                <w:sz w:val="24"/>
                <w:szCs w:val="24"/>
                <w:highlight w:val="none"/>
                <w:shd w:val="clear" w:color="auto" w:fill="FFFFFF"/>
              </w:rPr>
              <w:t>要求集成到网站群系统内容预检需要采用正向查错与反向查错技术相融合的敏感词自动机模式，增强审核功能。</w:t>
            </w:r>
          </w:p>
          <w:p w14:paraId="63F8B3C2">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kern w:val="2"/>
                <w:sz w:val="24"/>
                <w:szCs w:val="24"/>
                <w:highlight w:val="none"/>
                <w:shd w:val="clear" w:fill="FFFFFF"/>
                <w:lang w:val="en-US" w:eastAsia="zh-CN" w:bidi="ar-SA"/>
              </w:rPr>
              <w:t>3.</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szCs w:val="24"/>
                <w:highlight w:val="none"/>
              </w:rPr>
              <w:t>要求无缝对接学校现有网站群系统，无需二次登录，实现直接在</w:t>
            </w:r>
            <w:r>
              <w:rPr>
                <w:rFonts w:hint="eastAsia" w:ascii="宋体" w:hAnsi="宋体" w:eastAsia="宋体" w:cs="宋体"/>
                <w:b/>
                <w:bCs/>
                <w:color w:val="auto"/>
                <w:sz w:val="24"/>
                <w:szCs w:val="24"/>
                <w:highlight w:val="none"/>
                <w:lang w:val="en-US" w:eastAsia="zh-CN"/>
              </w:rPr>
              <w:t>网站群</w:t>
            </w:r>
            <w:r>
              <w:rPr>
                <w:rFonts w:hint="eastAsia" w:ascii="宋体" w:hAnsi="宋体" w:eastAsia="宋体" w:cs="宋体"/>
                <w:b/>
                <w:bCs/>
                <w:color w:val="auto"/>
                <w:sz w:val="24"/>
                <w:szCs w:val="24"/>
                <w:highlight w:val="none"/>
              </w:rPr>
              <w:t>系统编辑器中检测使用。如有涉及对接费用，由供应商自行承担。</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投标时仅</w:t>
            </w:r>
            <w:r>
              <w:rPr>
                <w:rFonts w:hint="eastAsia" w:ascii="宋体" w:hAnsi="宋体" w:eastAsia="宋体" w:cs="宋体"/>
                <w:b/>
                <w:bCs/>
                <w:color w:val="auto"/>
                <w:kern w:val="0"/>
                <w:sz w:val="24"/>
                <w:szCs w:val="24"/>
                <w:highlight w:val="none"/>
              </w:rPr>
              <w:t>需提供承诺函）</w:t>
            </w:r>
          </w:p>
          <w:p w14:paraId="62FD921F">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4.</w:t>
            </w:r>
            <w:r>
              <w:rPr>
                <w:rFonts w:hint="eastAsia" w:ascii="宋体" w:hAnsi="宋体" w:eastAsia="宋体" w:cs="宋体"/>
                <w:color w:val="auto"/>
                <w:sz w:val="24"/>
                <w:szCs w:val="24"/>
                <w:highlight w:val="none"/>
                <w:shd w:val="clear" w:color="auto" w:fill="FFFFFF"/>
              </w:rPr>
              <w:t>系统支持网站、新媒体（微信公众号等）发布内容的预检，检测方式为文本检测和网址检测。</w:t>
            </w:r>
          </w:p>
          <w:p w14:paraId="1A387D01">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5.</w:t>
            </w:r>
            <w:r>
              <w:rPr>
                <w:rFonts w:hint="eastAsia" w:ascii="宋体" w:hAnsi="宋体" w:eastAsia="宋体" w:cs="宋体"/>
                <w:color w:val="auto"/>
                <w:sz w:val="24"/>
                <w:szCs w:val="24"/>
                <w:highlight w:val="none"/>
                <w:shd w:val="clear" w:color="auto" w:fill="FFFFFF"/>
              </w:rPr>
              <w:t>▲支持检测某个网页的文章内容，将网页URL链接粘贴到系统中进行一键检测。</w:t>
            </w:r>
          </w:p>
          <w:p w14:paraId="263251EA">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shd w:val="clear" w:color="auto" w:fill="FFFFFF"/>
              </w:rPr>
              <w:t>▲需要具备文本检测：支持对将待发布的文本内容粘贴复制到系统内一键检测。</w:t>
            </w:r>
          </w:p>
          <w:p w14:paraId="3F7FB4C3">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shd w:val="clear" w:color="auto" w:fill="FFFFFF"/>
              </w:rPr>
              <w:t>▲需要具备网址检测：支持对网站、微信、等地址链接复制到系统内直接检测。</w:t>
            </w:r>
          </w:p>
          <w:p w14:paraId="0E8ADED0">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8.</w:t>
            </w:r>
            <w:r>
              <w:rPr>
                <w:rFonts w:hint="eastAsia" w:ascii="宋体" w:hAnsi="宋体" w:eastAsia="宋体" w:cs="宋体"/>
                <w:b/>
                <w:bCs/>
                <w:color w:val="auto"/>
                <w:sz w:val="24"/>
                <w:szCs w:val="24"/>
                <w:highlight w:val="none"/>
              </w:rPr>
              <w:t>系统支持对内容发布前检测到的敏感词、敏感人物、非法链接等信息进行记录并统计分析，支持展现不同危险内容出现的频次、占比。</w:t>
            </w:r>
          </w:p>
          <w:p w14:paraId="0170D001">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9.</w:t>
            </w:r>
            <w:r>
              <w:rPr>
                <w:rFonts w:hint="eastAsia" w:ascii="宋体" w:hAnsi="宋体" w:eastAsia="宋体" w:cs="宋体"/>
                <w:color w:val="auto"/>
                <w:sz w:val="24"/>
                <w:szCs w:val="24"/>
                <w:highlight w:val="none"/>
                <w:shd w:val="clear" w:color="auto" w:fill="FFFFFF"/>
              </w:rPr>
              <w:t>支持将文本内容复制粘贴到内容安全检测的文本框中，然后进行一键检测，同时支持文本格式的编辑，将修改好的内容可以一键复制</w:t>
            </w:r>
          </w:p>
          <w:p w14:paraId="0C8FBDF5">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10.</w:t>
            </w:r>
            <w:r>
              <w:rPr>
                <w:rFonts w:hint="eastAsia" w:ascii="宋体" w:hAnsi="宋体" w:eastAsia="宋体" w:cs="宋体"/>
                <w:color w:val="auto"/>
                <w:sz w:val="24"/>
                <w:szCs w:val="24"/>
                <w:highlight w:val="none"/>
              </w:rPr>
              <w:t>系统支持敏感词库持续迭代更新，识别新型复杂违规文本</w:t>
            </w:r>
          </w:p>
          <w:p w14:paraId="7F31ABCC">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11.</w:t>
            </w:r>
            <w:r>
              <w:rPr>
                <w:rFonts w:hint="eastAsia" w:ascii="宋体" w:hAnsi="宋体" w:eastAsia="宋体" w:cs="宋体"/>
                <w:color w:val="auto"/>
                <w:sz w:val="24"/>
                <w:szCs w:val="24"/>
                <w:highlight w:val="none"/>
                <w:shd w:val="clear" w:color="auto" w:fill="FFFFFF"/>
              </w:rPr>
              <w:t>系统在性能方面，需支持错敏信息检测的性能不低于1000字/秒。</w:t>
            </w:r>
          </w:p>
          <w:p w14:paraId="0A8CAF95">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12.</w:t>
            </w:r>
            <w:r>
              <w:rPr>
                <w:rFonts w:hint="eastAsia" w:ascii="宋体" w:hAnsi="宋体" w:eastAsia="宋体" w:cs="宋体"/>
                <w:color w:val="auto"/>
                <w:sz w:val="24"/>
                <w:szCs w:val="24"/>
                <w:highlight w:val="none"/>
                <w:shd w:val="clear" w:color="auto" w:fill="FFFFFF"/>
              </w:rPr>
              <w:t>支持对检测出来的敏感词内容进行高亮显示及定位功能，提醒编辑人员快速修改。</w:t>
            </w:r>
          </w:p>
          <w:p w14:paraId="15A6E01D">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13.</w:t>
            </w:r>
            <w:r>
              <w:rPr>
                <w:rFonts w:hint="eastAsia" w:ascii="宋体" w:hAnsi="宋体" w:eastAsia="宋体" w:cs="宋体"/>
                <w:color w:val="auto"/>
                <w:sz w:val="24"/>
                <w:szCs w:val="24"/>
                <w:highlight w:val="none"/>
                <w:shd w:val="clear" w:color="auto" w:fill="FFFFFF"/>
              </w:rPr>
              <w:t>支持文本格式的编辑，将修改好的内容可以一键复制。</w:t>
            </w:r>
          </w:p>
          <w:p w14:paraId="195FB340">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14.</w:t>
            </w:r>
            <w:r>
              <w:rPr>
                <w:rFonts w:hint="eastAsia" w:ascii="宋体" w:hAnsi="宋体" w:eastAsia="宋体" w:cs="宋体"/>
                <w:color w:val="auto"/>
                <w:sz w:val="24"/>
                <w:szCs w:val="24"/>
                <w:highlight w:val="none"/>
                <w:shd w:val="clear" w:color="auto" w:fill="FFFFFF"/>
              </w:rPr>
              <w:t>支持将检测出来的敏感词问题列表导出。</w:t>
            </w:r>
          </w:p>
          <w:p w14:paraId="10834C37">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shd w:val="clear" w:color="auto" w:fill="FFFFFF"/>
              </w:rPr>
              <w:t>本次项目需要采用现代自然语言处理分析技术和敏感词、错别字库相结合的方法，检测内容中存在的错别字、敏感信息。</w:t>
            </w:r>
          </w:p>
          <w:p w14:paraId="4CCBC28E">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rPr>
              <w:t>系统支持敏感词检测：其中包括恐暴违禁、文本色情、政治敏感、民族宗教、不文明用语、落马官员等。</w:t>
            </w:r>
          </w:p>
          <w:p w14:paraId="0236AADA">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rPr>
              <w:t>系统支持异常链接检：应能预检内容当中上所有的相关外链信息，对可能存在的博彩、色情等非法内容和链接进行智能检测和识别。</w:t>
            </w:r>
          </w:p>
          <w:p w14:paraId="4BCBBEDB">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rPr>
              <w:t>系统支持疑似隐私信息检测：其中包括身份证、电话号码、内网ip等。</w:t>
            </w:r>
          </w:p>
          <w:p w14:paraId="25C3EC5D">
            <w:pPr>
              <w:pStyle w:val="43"/>
              <w:keepNext w:val="0"/>
              <w:keepLines w:val="0"/>
              <w:pageBreakBefore w:val="0"/>
              <w:widowControl w:val="0"/>
              <w:numPr>
                <w:ilvl w:val="0"/>
                <w:numId w:val="0"/>
              </w:numPr>
              <w:suppressLineNumbers w:val="0"/>
              <w:kinsoku/>
              <w:wordWrap w:val="0"/>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19.</w:t>
            </w:r>
            <w:r>
              <w:rPr>
                <w:rFonts w:hint="eastAsia" w:ascii="宋体" w:hAnsi="宋体" w:eastAsia="宋体" w:cs="宋体"/>
                <w:color w:val="auto"/>
                <w:sz w:val="24"/>
                <w:szCs w:val="24"/>
                <w:highlight w:val="none"/>
              </w:rPr>
              <w:t>系统支持重大表述问题检测：其中包括国家领导人及其重点思想、国家政策方针、党及民族等意识形态类问题。</w:t>
            </w:r>
          </w:p>
        </w:tc>
      </w:tr>
      <w:tr w14:paraId="23CD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4A61B244">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3E04BB6F">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新媒体发布</w:t>
            </w:r>
          </w:p>
        </w:tc>
        <w:tc>
          <w:tcPr>
            <w:tcW w:w="8329" w:type="dxa"/>
            <w:noWrap w:val="0"/>
            <w:vAlign w:val="center"/>
          </w:tcPr>
          <w:p w14:paraId="3214163A">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支持按照部门为管理单元，提供新媒体账号（微信、微博）的关联对接，有权限的用户可以在多个账号类型进行切换。</w:t>
            </w:r>
          </w:p>
          <w:p w14:paraId="0ACC634B">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支持网站文章推送到本部门微信、微博帐号，也可在新媒体内容编辑时，选择本部门网站已发布的任意文章作为素材编辑发布。</w:t>
            </w:r>
          </w:p>
          <w:p w14:paraId="1024EFB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支持微信公众号管理，支持公众号自动回复消息设置和自定义菜单。系统需具备微信端编辑器，提供多种微信公众号文章排版素材，同时系统需打通135编辑器，实现微信内容的优化处理。</w:t>
            </w:r>
          </w:p>
          <w:p w14:paraId="4424606E">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系统需内置微博编辑器，可以快速在平台编辑微博文章，编辑时可以在网站素材和资源库中选择合适信息资源发布至微博，支持头条微博编辑发布。</w:t>
            </w:r>
          </w:p>
          <w:p w14:paraId="6587C9C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支持发布预览，可以模拟浏览当前账号在微博发布文章展示的效果。支持微博发布历史查看，可以对已发布的微博进行重新编辑，并将微博发布的历史文章快速推荐至其他微博。</w:t>
            </w:r>
          </w:p>
          <w:p w14:paraId="1F444396">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rPr>
              <w:t>支持统一对微信、微博发布信息进行检索，支持对平台中已发布微博、微信公众号文章进行一键撤稿。</w:t>
            </w:r>
          </w:p>
        </w:tc>
      </w:tr>
      <w:tr w14:paraId="2908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531F532A">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4792CDA0">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统计分析</w:t>
            </w:r>
          </w:p>
        </w:tc>
        <w:tc>
          <w:tcPr>
            <w:tcW w:w="8329" w:type="dxa"/>
            <w:noWrap w:val="0"/>
            <w:vAlign w:val="center"/>
          </w:tcPr>
          <w:p w14:paraId="73F547A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1</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站点运营数据管理过程，需提供针对每一个网站的访问的相关数据统计，包括统计访问记录、页面浏览数、来访IP数、访问时间段、访问排名及来访省份统计。</w:t>
            </w:r>
          </w:p>
          <w:p w14:paraId="1181AD62">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2</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支持针对网站内容的相关数据统计，包括网站管理员信息量、栏目信息量、分组信息量、栏目新闻数、网站在线管理员等数据的统计。</w:t>
            </w:r>
          </w:p>
          <w:p w14:paraId="41CE9E97">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支持对微信、微博运营情况进行统计分析，包括账号数量、发文数量、粉丝数量等。需对微信、微博等各发布渠道的文章按照阅读量等进行热度统计，综合展示当前单位内各新媒体渠道的热门文章。</w:t>
            </w:r>
          </w:p>
        </w:tc>
      </w:tr>
      <w:tr w14:paraId="60F7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6E66C8AC">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5809B3F2">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RASP安全威胁防控体系</w:t>
            </w:r>
          </w:p>
        </w:tc>
        <w:tc>
          <w:tcPr>
            <w:tcW w:w="8329" w:type="dxa"/>
            <w:noWrap w:val="0"/>
            <w:vAlign w:val="center"/>
          </w:tcPr>
          <w:p w14:paraId="2BAC695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系统需引入RASP技术，深度检查系统内部访问动作，支持表层防护，业务防护和内核防护的三级防护模式，对系统的各类运维安全问题，例如规则的漏洞攻击、行为追踪的漏洞等可进行逐层把关。</w:t>
            </w:r>
          </w:p>
          <w:p w14:paraId="055D1525">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能够针对系统内部面临的不同种类的攻击情况，进行严密记录与分析，支持对每一次攻击过程进行请求信息的反向追踪记录。</w:t>
            </w:r>
          </w:p>
        </w:tc>
      </w:tr>
      <w:tr w14:paraId="392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4F056DA2">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67E4CE3F">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场景化安全运维</w:t>
            </w:r>
          </w:p>
        </w:tc>
        <w:tc>
          <w:tcPr>
            <w:tcW w:w="8329" w:type="dxa"/>
            <w:noWrap w:val="0"/>
            <w:vAlign w:val="center"/>
          </w:tcPr>
          <w:p w14:paraId="74249BD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▲平台应具备场景化运维管控能力，支持按照不同场景来配置站群安全运维模式，可按不同场景进行管理员账号限制、防火墙策略设定、访问限制、后台维护限制等安全防护策略的详细配置。</w:t>
            </w:r>
          </w:p>
          <w:p w14:paraId="44A2F649">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sz w:val="24"/>
                <w:szCs w:val="24"/>
                <w:highlight w:val="none"/>
              </w:rPr>
              <w:t>可按需设置多种场景模式，实现对应场景之下运维模式的快速切换。</w:t>
            </w:r>
          </w:p>
          <w:p w14:paraId="4CCD1B69">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sz w:val="24"/>
                <w:szCs w:val="24"/>
                <w:highlight w:val="none"/>
              </w:rPr>
              <w:t>需支持对未纳入场景规则之下的站点进行数字提示，杜绝场景化运维过程中的站点遗漏问题。</w:t>
            </w:r>
          </w:p>
          <w:p w14:paraId="53D82AB9">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▲系统需支持针对风险管理员账号进行检测和管理，支持对长期未登录用户进行监管和快速封禁，能够针对长期未登录或权限过载等风险管理员账号进行合理划分并选择性禁用。</w:t>
            </w:r>
          </w:p>
        </w:tc>
      </w:tr>
      <w:tr w14:paraId="5672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213085E1">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7DC542D4">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网页防篡改系统</w:t>
            </w:r>
          </w:p>
        </w:tc>
        <w:tc>
          <w:tcPr>
            <w:tcW w:w="8329" w:type="dxa"/>
            <w:noWrap w:val="0"/>
            <w:vAlign w:val="center"/>
          </w:tcPr>
          <w:p w14:paraId="4595D30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需要采用先进的 Web 服务器核心内嵌机制，不仅要实现了对静态网页和脚本的实时检测和恢复，更要保护数据库中的动态内容免受来自于 Web 的攻击和篡改，彻底解决网页防篡改问题。</w:t>
            </w:r>
          </w:p>
          <w:p w14:paraId="2ADBA4AB">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系统内置防篡改模块，能够对每一个网站防篡改开启或关闭进行检测，支持批量网页防篡改服务器配置，内置防篡改日志查询，保护站群内所有站点的安全。</w:t>
            </w:r>
          </w:p>
        </w:tc>
      </w:tr>
      <w:tr w14:paraId="3C23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7E1237EA">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bCs/>
                <w:color w:val="auto"/>
                <w:kern w:val="0"/>
                <w:sz w:val="24"/>
                <w:szCs w:val="24"/>
                <w:highlight w:val="none"/>
              </w:rPr>
            </w:pPr>
          </w:p>
        </w:tc>
        <w:tc>
          <w:tcPr>
            <w:tcW w:w="960" w:type="dxa"/>
            <w:noWrap w:val="0"/>
            <w:vAlign w:val="center"/>
          </w:tcPr>
          <w:p w14:paraId="64F36165">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48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安全防护功能</w:t>
            </w:r>
          </w:p>
        </w:tc>
        <w:tc>
          <w:tcPr>
            <w:tcW w:w="8329" w:type="dxa"/>
            <w:noWrap w:val="0"/>
            <w:vAlign w:val="center"/>
          </w:tcPr>
          <w:p w14:paraId="54EF92D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系统须具备安全概览面板，展示系统整体安全防护动态，展示内容需包含全球攻击情况的实时动态展示、部署结构运维展示、内容安全管控情况以及安全运维监控结果等，针对重点安全防护模块可提供一键直达快速访问入口。</w:t>
            </w:r>
          </w:p>
          <w:p w14:paraId="4320CFC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bookmarkStart w:id="36" w:name="_Hlk106093014"/>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▲平台需支持对网站群系统进行监控，及时发现并阻断对网站群系统底层关键文件的修改，防止对系统底层文件的篡改变动。</w:t>
            </w:r>
            <w:bookmarkEnd w:id="36"/>
          </w:p>
          <w:p w14:paraId="431A8B10">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支持密码强度规则设置，并且提供简单密码口令库，使用简单口令库中的密码在创建用户时系统会自动阻止。系统针对密码加密，采用国密算法，保障密码不被暴力猜解。</w:t>
            </w:r>
          </w:p>
          <w:p w14:paraId="30BE1167">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网站群系统要求具有IP规则设置和账号安全管理功能，管理员可以设置不同的IP范围，用来限制管理员后台登录。</w:t>
            </w:r>
          </w:p>
          <w:p w14:paraId="75C1FCFF">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系统应内置应用防火墙，内置被动防御策略集，针对危险行为进行IP封禁，并可管理黑名单及白名单，通过使用入侵防护日志，可以详细了解攻击者的归属地、IP地址、攻击位置、攻击特征以及攻击时间等重要信息。</w:t>
            </w:r>
          </w:p>
          <w:p w14:paraId="5DE596E1">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rPr>
              <w:t>系统应支持危险文件</w:t>
            </w:r>
            <w:r>
              <w:rPr>
                <w:rFonts w:hint="eastAsia" w:ascii="宋体" w:hAnsi="宋体" w:eastAsia="宋体" w:cs="宋体"/>
                <w:color w:val="auto"/>
                <w:sz w:val="24"/>
                <w:szCs w:val="24"/>
                <w:highlight w:val="none"/>
              </w:rPr>
              <w:t>检测</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检测</w:t>
            </w:r>
            <w:r>
              <w:rPr>
                <w:rFonts w:hint="eastAsia" w:ascii="宋体" w:hAnsi="宋体" w:eastAsia="宋体" w:cs="宋体"/>
                <w:color w:val="auto"/>
                <w:kern w:val="0"/>
                <w:sz w:val="24"/>
                <w:szCs w:val="24"/>
                <w:highlight w:val="none"/>
              </w:rPr>
              <w:t>服务器中包含特殊代码的文件，并提供</w:t>
            </w:r>
            <w:r>
              <w:rPr>
                <w:rFonts w:hint="eastAsia" w:ascii="宋体" w:hAnsi="宋体" w:eastAsia="宋体" w:cs="宋体"/>
                <w:color w:val="auto"/>
                <w:sz w:val="24"/>
                <w:szCs w:val="24"/>
                <w:highlight w:val="none"/>
              </w:rPr>
              <w:t>检测</w:t>
            </w:r>
            <w:r>
              <w:rPr>
                <w:rFonts w:hint="eastAsia" w:ascii="宋体" w:hAnsi="宋体" w:eastAsia="宋体" w:cs="宋体"/>
                <w:color w:val="auto"/>
                <w:kern w:val="0"/>
                <w:sz w:val="24"/>
                <w:szCs w:val="24"/>
                <w:highlight w:val="none"/>
              </w:rPr>
              <w:t>日志，同时允许手动、自动更新危险网站黑名单及信任网站白名单。</w:t>
            </w:r>
          </w:p>
          <w:p w14:paraId="29FB9593">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rPr>
              <w:t>系统应支持网站群体检功能，提供危险项目、安全项目、其他项目的系统体检、并可以在体检结果后直接对结果进行处理操作。</w:t>
            </w:r>
          </w:p>
          <w:p w14:paraId="2EA496D4">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(8)</w:t>
            </w:r>
            <w:r>
              <w:rPr>
                <w:rFonts w:hint="eastAsia" w:ascii="宋体" w:hAnsi="宋体" w:eastAsia="宋体" w:cs="宋体"/>
                <w:color w:val="auto"/>
                <w:kern w:val="0"/>
                <w:sz w:val="24"/>
                <w:szCs w:val="24"/>
                <w:highlight w:val="none"/>
              </w:rPr>
              <w:t>在用户登录和信息传递过程中，系统支持外部SSL协议对用户名和密码的传输进行加密，保证关键信息的通信保密性。</w:t>
            </w:r>
          </w:p>
        </w:tc>
      </w:tr>
      <w:tr w14:paraId="36FF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85" w:type="dxa"/>
            <w:noWrap w:val="0"/>
            <w:vAlign w:val="center"/>
          </w:tcPr>
          <w:p w14:paraId="34EBF83A">
            <w:pPr>
              <w:keepNext w:val="0"/>
              <w:keepLines w:val="0"/>
              <w:pageBreakBefore w:val="0"/>
              <w:widowControl w:val="0"/>
              <w:numPr>
                <w:ilvl w:val="0"/>
                <w:numId w:val="2"/>
              </w:numPr>
              <w:suppressLineNumbers w:val="0"/>
              <w:kinsoku/>
              <w:wordWrap w:val="0"/>
              <w:overflowPunct/>
              <w:topLinePunct w:val="0"/>
              <w:autoSpaceDE/>
              <w:autoSpaceDN/>
              <w:bidi w:val="0"/>
              <w:spacing w:before="0" w:beforeAutospacing="0" w:after="0" w:afterAutospacing="0" w:line="360" w:lineRule="auto"/>
              <w:ind w:left="425" w:leftChars="0" w:right="0" w:hanging="425" w:firstLineChars="0"/>
              <w:jc w:val="right"/>
              <w:textAlignment w:val="auto"/>
              <w:rPr>
                <w:rFonts w:hint="eastAsia" w:ascii="宋体" w:hAnsi="宋体" w:eastAsia="宋体" w:cs="宋体"/>
                <w:color w:val="auto"/>
                <w:kern w:val="0"/>
                <w:sz w:val="24"/>
                <w:szCs w:val="24"/>
                <w:highlight w:val="none"/>
              </w:rPr>
            </w:pPr>
          </w:p>
        </w:tc>
        <w:tc>
          <w:tcPr>
            <w:tcW w:w="960" w:type="dxa"/>
            <w:noWrap w:val="0"/>
            <w:vAlign w:val="center"/>
          </w:tcPr>
          <w:p w14:paraId="26387C6F">
            <w:pPr>
              <w:keepNext w:val="0"/>
              <w:keepLines w:val="0"/>
              <w:pageBreakBefore w:val="0"/>
              <w:widowControl w:val="0"/>
              <w:suppressLineNumbers w:val="0"/>
              <w:kinsoku/>
              <w:wordWrap w:val="0"/>
              <w:overflowPunct/>
              <w:topLinePunct w:val="0"/>
              <w:autoSpaceDE/>
              <w:autoSpaceDN/>
              <w:bidi w:val="0"/>
              <w:spacing w:before="0" w:beforeAutospacing="0" w:after="0" w:afterAutospacing="0" w:line="360" w:lineRule="auto"/>
              <w:ind w:left="0" w:righ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智能搜索</w:t>
            </w:r>
          </w:p>
        </w:tc>
        <w:tc>
          <w:tcPr>
            <w:tcW w:w="8329" w:type="dxa"/>
            <w:noWrap w:val="0"/>
            <w:vAlign w:val="center"/>
          </w:tcPr>
          <w:p w14:paraId="2000A151">
            <w:pPr>
              <w:pStyle w:val="65"/>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rPr>
              <w:t>系统需要支持跨网站搜索，搜索模式需要实现模糊搜索、目录搜索、全文搜索，有效提升搜索精准度。在前端网站搜索时，需要实现搜索输入提示、搜索结果分类展示，最终展现结果可配置模板。</w:t>
            </w:r>
          </w:p>
          <w:p w14:paraId="353D2DF6">
            <w:pPr>
              <w:pStyle w:val="65"/>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rPr>
              <w:t>针对搜索范围，平台需要支持站群搜索、单独站点搜索，可自由切换站点查看对应搜索结果，提升了搜索深度与范围。</w:t>
            </w:r>
          </w:p>
          <w:p w14:paraId="1E1C3F32">
            <w:pPr>
              <w:pStyle w:val="65"/>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rPr>
              <w:t>搜索结果需配置自定义排序、统计分析等。</w:t>
            </w:r>
          </w:p>
          <w:p w14:paraId="120FE261">
            <w:pPr>
              <w:pStyle w:val="65"/>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rPr>
              <w:t>系统需要针对特定搜索结果进行二次检索，达到数据级的相关关联，为用户提供精准的智能推荐。</w:t>
            </w:r>
          </w:p>
          <w:p w14:paraId="549CAFDE">
            <w:pPr>
              <w:pStyle w:val="65"/>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rPr>
              <w:t>系统需要提供错别字自动纠正、关键词推荐、拼音转化搜索和通俗语言搜索等功能；系统自带搜索词库，可自定义热词排序，特定热词分类；系统支持智能引导、智能分词、智能纠错、智能推荐，智能推荐搜索词汇，构建了智能化的主动搜索环境。</w:t>
            </w:r>
          </w:p>
        </w:tc>
      </w:tr>
    </w:tbl>
    <w:p w14:paraId="1FA4F6E8">
      <w:pPr>
        <w:pStyle w:val="2"/>
        <w:keepNext/>
        <w:keepLines/>
        <w:pageBreakBefore w:val="0"/>
        <w:widowControl w:val="0"/>
        <w:kinsoku/>
        <w:wordWrap/>
        <w:overflowPunct/>
        <w:topLinePunct w:val="0"/>
        <w:autoSpaceDE/>
        <w:autoSpaceDN/>
        <w:bidi w:val="0"/>
        <w:adjustRightInd/>
        <w:snapToGrid/>
        <w:spacing w:before="10" w:after="10"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技术提供配置与服务</w:t>
      </w:r>
      <w:r>
        <w:rPr>
          <w:rFonts w:hint="eastAsia" w:ascii="宋体" w:hAnsi="宋体" w:eastAsia="宋体" w:cs="宋体"/>
          <w:color w:val="auto"/>
          <w:sz w:val="24"/>
          <w:szCs w:val="24"/>
          <w:highlight w:val="none"/>
          <w:lang w:val="en-US" w:eastAsia="zh-CN"/>
        </w:rPr>
        <w:t>要求</w:t>
      </w:r>
    </w:p>
    <w:p w14:paraId="7020A8F3">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本项目业务需求复杂、服务内容多样、面向用户广泛，服务提供难度大。供应商应建立相对稳定、有业务素养的技术提供配置与服务队伍，提供全面的技术提供配置服务。</w:t>
      </w:r>
      <w:r>
        <w:rPr>
          <w:rFonts w:hint="eastAsia" w:ascii="宋体" w:hAnsi="宋体" w:eastAsia="宋体" w:cs="宋体"/>
          <w:b/>
          <w:bCs/>
          <w:color w:val="auto"/>
          <w:sz w:val="24"/>
          <w:szCs w:val="24"/>
          <w:highlight w:val="none"/>
        </w:rPr>
        <w:t>供应商必须在</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中给出切实可行的技术提供配置与服务方案，包括但不限于技术提供配置与服务队伍人员名单、人员保证措施、技术提供配置与服务计划、质量控制措施、拟提交的服务文档和用户满意度指标和标准等。</w:t>
      </w:r>
    </w:p>
    <w:p w14:paraId="0A321470">
      <w:pPr>
        <w:pStyle w:val="2"/>
        <w:keepNext/>
        <w:keepLines/>
        <w:pageBreakBefore w:val="0"/>
        <w:widowControl w:val="0"/>
        <w:kinsoku/>
        <w:wordWrap/>
        <w:overflowPunct/>
        <w:topLinePunct w:val="0"/>
        <w:autoSpaceDE/>
        <w:autoSpaceDN/>
        <w:bidi w:val="0"/>
        <w:adjustRightInd/>
        <w:snapToGrid/>
        <w:spacing w:before="10" w:after="10" w:line="360" w:lineRule="auto"/>
        <w:ind w:firstLine="482" w:firstLineChars="200"/>
        <w:textAlignment w:val="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五、售后服务和培训</w:t>
      </w:r>
    </w:p>
    <w:p w14:paraId="31883562">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color w:val="auto"/>
          <w:sz w:val="24"/>
          <w:szCs w:val="24"/>
          <w:highlight w:val="none"/>
        </w:rPr>
      </w:pPr>
      <w:bookmarkStart w:id="37" w:name="_Toc419964939"/>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供应商提供3年7×24 小时响应服务，服务期间均提供故障诊断、排除、扩充、管理等 ；技术故障 4 小时内解决</w:t>
      </w:r>
      <w:bookmarkEnd w:id="37"/>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对于系统验收后出现的各种问题和已有功能改动承诺提供7x24小时的技术支持和迅速解决，系统出现的安全问题、性能问题和系统缺陷，终身免费解决。</w:t>
      </w:r>
      <w:r>
        <w:rPr>
          <w:rFonts w:hint="eastAsia" w:ascii="宋体" w:hAnsi="宋体" w:eastAsia="宋体" w:cs="宋体"/>
          <w:color w:val="auto"/>
          <w:sz w:val="24"/>
          <w:szCs w:val="24"/>
          <w:highlight w:val="none"/>
        </w:rPr>
        <w:t>维护服务保障网站群平台的正常运行，保证平台安全性，维护服务内容主要包括：对系统进行维护更新，并通过定期系统巡检和调优，保证整个平台的安全性以及高效运行。</w:t>
      </w:r>
    </w:p>
    <w:p w14:paraId="306D530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供应商须承诺在完成应用软件开发，进行部署实施、试运行、正式运行等阶段工作时，根据采购人的要求，可多次派培训工程师开展培训工作</w:t>
      </w:r>
      <w:r>
        <w:rPr>
          <w:rFonts w:hint="eastAsia" w:ascii="宋体" w:hAnsi="宋体" w:eastAsia="宋体" w:cs="宋体"/>
          <w:color w:val="auto"/>
          <w:sz w:val="24"/>
          <w:szCs w:val="24"/>
          <w:highlight w:val="none"/>
        </w:rPr>
        <w:t>。培训内容包括应用软件部署实施培训、应用软件操作使用培训和应用软件运行维护培训等。培训的时间、内容、人员、期次等具体内容在具体执行过程中需根据采购人意见进行调整。</w:t>
      </w:r>
      <w:r>
        <w:rPr>
          <w:rFonts w:hint="eastAsia" w:ascii="宋体" w:hAnsi="宋体" w:eastAsia="宋体" w:cs="宋体"/>
          <w:b/>
          <w:bCs/>
          <w:color w:val="auto"/>
          <w:sz w:val="24"/>
          <w:szCs w:val="24"/>
          <w:highlight w:val="none"/>
        </w:rPr>
        <w:t>供应商在</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中须提供详细的培训方案，并按照上述要求进行详细说明。</w:t>
      </w:r>
    </w:p>
    <w:p w14:paraId="0417BD1B">
      <w:pPr>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六、总体实施进度</w:t>
      </w:r>
    </w:p>
    <w:p w14:paraId="3D0AF88C">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供应商应根据交付时间要求，制定项目进度计划及资源保障计划，并按计划实施。总体进度要求如下：</w:t>
      </w:r>
    </w:p>
    <w:p w14:paraId="2475DF6D">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第一阶段：合同签订后15个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完成本项目的应用部署与开发测试工作。</w:t>
      </w:r>
    </w:p>
    <w:p w14:paraId="699EE237">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第二阶段：合同签订后30个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完成合同中要求的网站建设内容，进入试运行阶段并进行应用推广和培训工作。</w:t>
      </w:r>
    </w:p>
    <w:p w14:paraId="4A34B25C">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第三阶段：合同签订</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50个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完成项目最终验收，提交验收文档。</w:t>
      </w:r>
    </w:p>
    <w:bookmarkEnd w:id="32"/>
    <w:bookmarkEnd w:id="35"/>
    <w:p w14:paraId="515FB66B">
      <w:pPr>
        <w:pStyle w:val="2"/>
        <w:keepNext/>
        <w:keepLines/>
        <w:pageBreakBefore w:val="0"/>
        <w:widowControl w:val="0"/>
        <w:kinsoku/>
        <w:wordWrap/>
        <w:overflowPunct/>
        <w:topLinePunct w:val="0"/>
        <w:autoSpaceDE/>
        <w:autoSpaceDN/>
        <w:bidi w:val="0"/>
        <w:adjustRightInd/>
        <w:snapToGrid/>
        <w:spacing w:before="10" w:after="10" w:line="360" w:lineRule="auto"/>
        <w:ind w:firstLine="482" w:firstLineChars="200"/>
        <w:textAlignment w:val="auto"/>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七、项目验收</w:t>
      </w:r>
    </w:p>
    <w:p w14:paraId="6B954B24">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试运行</w:t>
      </w:r>
    </w:p>
    <w:p w14:paraId="6C755A8B">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网站上线后，进入15天连续试运行期。</w:t>
      </w:r>
    </w:p>
    <w:p w14:paraId="3A4A1929">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试运行期间，中标人一方面要提供足够的培训和技术支持，保障用户能够正确的理解和使用系统，另一方面，要根据运行中出现的问题以及用户需求情况，及时修改完善系统。中标人应使任何故障或问题都能在48小时内被修复和解决，并给出详细修复细节报告。</w:t>
      </w:r>
    </w:p>
    <w:p w14:paraId="0C4D8ABD">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试运行期内如出现重大故障，则试运行期从故障排除之日起重新计算，直到系统连续两个月无重大故障为止。重大故障系指因中标人原因致使系统不能正常运行，影响到买方系统软件的正常安装和运行。</w:t>
      </w:r>
    </w:p>
    <w:p w14:paraId="4F6E27EB">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所有试运行期间系统的修改和软件变化都应在试运行结束后由中标人写入操作和维护手册中。</w:t>
      </w:r>
    </w:p>
    <w:p w14:paraId="1A9B9B77">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2、项目验收</w:t>
      </w:r>
    </w:p>
    <w:p w14:paraId="634CF890">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试运行期满合格可以进行项目验收。合格必须满足以下条件：</w:t>
      </w:r>
    </w:p>
    <w:p w14:paraId="745C3C25">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1．已提供了合同的全部系统和资料；</w:t>
      </w:r>
    </w:p>
    <w:p w14:paraId="59028403">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2．提交实施过程中所产生的全部文档，如技术文档、实施文档、用户使用和操作手册等；</w:t>
      </w:r>
    </w:p>
    <w:p w14:paraId="622A0C29">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3．安装、调试、测试和试运行时出现的问题均已被解决；</w:t>
      </w:r>
    </w:p>
    <w:p w14:paraId="721CDCED">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4．最终用户单位出具的系统可正常运转的说明文件</w:t>
      </w:r>
      <w:r>
        <w:rPr>
          <w:rFonts w:hint="eastAsia" w:ascii="宋体" w:hAnsi="宋体" w:eastAsia="宋体" w:cs="宋体"/>
          <w:bCs/>
          <w:color w:val="auto"/>
          <w:sz w:val="24"/>
          <w:szCs w:val="24"/>
          <w:highlight w:val="none"/>
          <w:lang w:eastAsia="zh-CN"/>
        </w:rPr>
        <w:t>。</w:t>
      </w:r>
    </w:p>
    <w:p w14:paraId="71606BDB">
      <w:pPr>
        <w:keepNext w:val="0"/>
        <w:keepLines w:val="0"/>
        <w:widowControl/>
        <w:suppressLineNumbers w:val="0"/>
        <w:ind w:firstLine="482" w:firstLineChars="200"/>
        <w:jc w:val="left"/>
        <w:rPr>
          <w:color w:val="auto"/>
          <w:highlight w:val="none"/>
        </w:rPr>
      </w:pPr>
      <w:r>
        <w:rPr>
          <w:rFonts w:hint="eastAsia" w:ascii="宋体" w:hAnsi="宋体" w:eastAsia="宋体" w:cs="宋体"/>
          <w:b/>
          <w:bCs/>
          <w:color w:val="auto"/>
          <w:kern w:val="44"/>
          <w:sz w:val="24"/>
          <w:szCs w:val="24"/>
          <w:highlight w:val="none"/>
          <w:lang w:val="en-US" w:eastAsia="zh-CN" w:bidi="ar-SA"/>
        </w:rPr>
        <w:t>八、软件代码及版权归属</w:t>
      </w:r>
      <w:r>
        <w:rPr>
          <w:rFonts w:hint="eastAsia" w:ascii="宋体" w:hAnsi="宋体" w:eastAsia="宋体" w:cs="宋体"/>
          <w:color w:val="auto"/>
          <w:kern w:val="0"/>
          <w:sz w:val="24"/>
          <w:szCs w:val="24"/>
          <w:highlight w:val="none"/>
          <w:lang w:val="en-US" w:eastAsia="zh-CN" w:bidi="ar"/>
        </w:rPr>
        <w:t xml:space="preserve"> </w:t>
      </w:r>
    </w:p>
    <w:p w14:paraId="1ADCAD8B">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1. 本项目的所有权和完全知识产权归采购人所有。 </w:t>
      </w:r>
    </w:p>
    <w:p w14:paraId="2130C742">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2.涉及的核心源代码（含后续升级版本）必须遵循相关标准和规范、技术代码、技术备份无条件提交给采购人。 </w:t>
      </w:r>
    </w:p>
    <w:p w14:paraId="673D7042">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3. 涉及接口的，必须遵循相关标准和规范。向下部署的，必须无条件开放所有接口且满足国家共享相关规定要求。中标单位有义务配合采购人做好有关信息共享工作。 </w:t>
      </w:r>
    </w:p>
    <w:p w14:paraId="069D7F70">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4.本项目在开发、使用和维护过程中接触到的采购人所有资料，未经采购人授权代表书面许可，不得留存、私自查阅及向第三方泄露。 </w:t>
      </w:r>
    </w:p>
    <w:p w14:paraId="1C5A6455">
      <w:pPr>
        <w:keepNext w:val="0"/>
        <w:keepLines w:val="0"/>
        <w:pageBreakBefore w:val="0"/>
        <w:widowControl w:val="0"/>
        <w:kinsoku/>
        <w:wordWrap/>
        <w:overflowPunct/>
        <w:topLinePunct w:val="0"/>
        <w:autoSpaceDE/>
        <w:autoSpaceDN/>
        <w:bidi w:val="0"/>
        <w:adjustRightInd/>
        <w:snapToGrid/>
        <w:spacing w:line="360" w:lineRule="auto"/>
        <w:ind w:right="240"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 本项目的设计开发专利申请权、技术秘密的使用权和转让权归采购人所有。</w:t>
      </w:r>
    </w:p>
    <w:p w14:paraId="3CE0AC0C">
      <w:pPr>
        <w:pageBreakBefore w:val="0"/>
        <w:widowControl w:val="0"/>
        <w:kinsoku/>
        <w:overflowPunct/>
        <w:topLinePunct w:val="0"/>
        <w:autoSpaceDE/>
        <w:autoSpaceDN/>
        <w:bidi w:val="0"/>
        <w:spacing w:line="360" w:lineRule="auto"/>
        <w:ind w:firstLine="480"/>
        <w:textAlignment w:val="auto"/>
        <w:rPr>
          <w:rFonts w:hint="eastAsia" w:ascii="宋体" w:hAnsi="宋体" w:eastAsia="宋体" w:cs="宋体"/>
          <w:b/>
          <w:bCs/>
          <w:color w:val="auto"/>
          <w:sz w:val="24"/>
          <w:szCs w:val="24"/>
          <w:highlight w:val="none"/>
        </w:rPr>
      </w:pPr>
    </w:p>
    <w:p w14:paraId="5C765110">
      <w:pPr>
        <w:rPr>
          <w:rFonts w:hint="eastAsia" w:asciiTheme="minorEastAsia" w:hAnsiTheme="minorEastAsia" w:eastAsiaTheme="minorEastAsia"/>
          <w:b/>
          <w:color w:val="auto"/>
          <w:sz w:val="28"/>
          <w:highlight w:val="none"/>
        </w:rPr>
      </w:pPr>
    </w:p>
    <w:p w14:paraId="632A8CAC">
      <w:pPr>
        <w:spacing w:line="360" w:lineRule="auto"/>
        <w:jc w:val="center"/>
        <w:outlineLvl w:val="0"/>
        <w:rPr>
          <w:rFonts w:asciiTheme="minorEastAsia" w:hAnsiTheme="minorEastAsia" w:eastAsiaTheme="minorEastAsia"/>
          <w:b/>
          <w:color w:val="auto"/>
          <w:sz w:val="28"/>
          <w:highlight w:val="none"/>
        </w:rPr>
      </w:pPr>
      <w:bookmarkStart w:id="38" w:name="_Toc30824"/>
      <w:r>
        <w:rPr>
          <w:rFonts w:hint="eastAsia" w:asciiTheme="minorEastAsia" w:hAnsiTheme="minorEastAsia" w:eastAsiaTheme="minorEastAsia"/>
          <w:b/>
          <w:color w:val="auto"/>
          <w:sz w:val="28"/>
          <w:highlight w:val="none"/>
        </w:rPr>
        <w:t>第四章  评标方法和标准（综合评分法）</w:t>
      </w:r>
      <w:bookmarkEnd w:id="38"/>
    </w:p>
    <w:p w14:paraId="5F64834A">
      <w:pPr>
        <w:spacing w:line="360" w:lineRule="auto"/>
        <w:ind w:firstLine="437"/>
        <w:outlineLvl w:val="1"/>
        <w:rPr>
          <w:rFonts w:asciiTheme="minorEastAsia" w:hAnsiTheme="minorEastAsia" w:eastAsiaTheme="minorEastAsia"/>
          <w:b/>
          <w:color w:val="auto"/>
          <w:sz w:val="24"/>
          <w:highlight w:val="none"/>
        </w:rPr>
      </w:pPr>
      <w:bookmarkStart w:id="39" w:name="_Toc11823"/>
      <w:bookmarkStart w:id="40" w:name="_Toc4705"/>
      <w:r>
        <w:rPr>
          <w:rFonts w:hint="eastAsia" w:asciiTheme="minorEastAsia" w:hAnsiTheme="minorEastAsia" w:eastAsiaTheme="minorEastAsia"/>
          <w:b/>
          <w:color w:val="auto"/>
          <w:sz w:val="24"/>
          <w:highlight w:val="none"/>
        </w:rPr>
        <w:t>一、总则</w:t>
      </w:r>
      <w:bookmarkEnd w:id="39"/>
      <w:bookmarkEnd w:id="40"/>
    </w:p>
    <w:p w14:paraId="0E7E4C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6FB08ED8">
      <w:pPr>
        <w:spacing w:line="360" w:lineRule="auto"/>
        <w:ind w:firstLine="437"/>
        <w:outlineLvl w:val="1"/>
        <w:rPr>
          <w:rFonts w:asciiTheme="minorEastAsia" w:hAnsiTheme="minorEastAsia" w:eastAsiaTheme="minorEastAsia"/>
          <w:b/>
          <w:color w:val="auto"/>
          <w:sz w:val="24"/>
          <w:highlight w:val="none"/>
        </w:rPr>
      </w:pPr>
      <w:bookmarkStart w:id="41" w:name="_Toc31871"/>
      <w:bookmarkStart w:id="42" w:name="_Toc32410"/>
      <w:r>
        <w:rPr>
          <w:rFonts w:hint="eastAsia" w:asciiTheme="minorEastAsia" w:hAnsiTheme="minorEastAsia" w:eastAsiaTheme="minorEastAsia"/>
          <w:b/>
          <w:color w:val="auto"/>
          <w:sz w:val="24"/>
          <w:highlight w:val="none"/>
        </w:rPr>
        <w:t>二、评标方法</w:t>
      </w:r>
      <w:bookmarkEnd w:id="41"/>
      <w:bookmarkEnd w:id="42"/>
    </w:p>
    <w:p w14:paraId="63AD5485">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8"/>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650"/>
        <w:gridCol w:w="4557"/>
        <w:gridCol w:w="2047"/>
      </w:tblGrid>
      <w:tr w14:paraId="6728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BAF69C6">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29C7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179CE432">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25" w:type="pct"/>
            <w:tcBorders>
              <w:bottom w:val="single" w:color="auto" w:sz="4" w:space="0"/>
            </w:tcBorders>
            <w:vAlign w:val="center"/>
          </w:tcPr>
          <w:p w14:paraId="4862C692">
            <w:pPr>
              <w:pStyle w:val="37"/>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555" w:type="pct"/>
            <w:tcBorders>
              <w:bottom w:val="single" w:color="auto" w:sz="4" w:space="0"/>
            </w:tcBorders>
            <w:vAlign w:val="center"/>
          </w:tcPr>
          <w:p w14:paraId="5DFB1DF8">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审查内容</w:t>
            </w:r>
          </w:p>
        </w:tc>
        <w:tc>
          <w:tcPr>
            <w:tcW w:w="1146" w:type="pct"/>
            <w:tcBorders>
              <w:bottom w:val="single" w:color="auto" w:sz="4" w:space="0"/>
            </w:tcBorders>
            <w:vAlign w:val="center"/>
          </w:tcPr>
          <w:p w14:paraId="1A707115">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70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2" w:type="pct"/>
            <w:tcBorders>
              <w:bottom w:val="single" w:color="auto" w:sz="4" w:space="0"/>
            </w:tcBorders>
            <w:vAlign w:val="center"/>
          </w:tcPr>
          <w:p w14:paraId="09CA371E">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olor w:val="auto"/>
                <w:sz w:val="24"/>
                <w:szCs w:val="20"/>
                <w:highlight w:val="none"/>
              </w:rPr>
              <w:t>1</w:t>
            </w:r>
          </w:p>
        </w:tc>
        <w:tc>
          <w:tcPr>
            <w:tcW w:w="925" w:type="pct"/>
            <w:tcBorders>
              <w:bottom w:val="single" w:color="auto" w:sz="4" w:space="0"/>
            </w:tcBorders>
            <w:vAlign w:val="center"/>
          </w:tcPr>
          <w:p w14:paraId="497DE068">
            <w:pPr>
              <w:keepNext w:val="0"/>
              <w:keepLines w:val="0"/>
              <w:suppressLineNumbers w:val="0"/>
              <w:spacing w:before="0" w:beforeAutospacing="0" w:after="50" w:afterAutospacing="0" w:line="360" w:lineRule="auto"/>
              <w:ind w:left="0" w:right="-10" w:rightChars="0"/>
              <w:jc w:val="center"/>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2555" w:type="pct"/>
            <w:tcBorders>
              <w:bottom w:val="single" w:color="auto" w:sz="4" w:space="0"/>
            </w:tcBorders>
            <w:vAlign w:val="center"/>
          </w:tcPr>
          <w:p w14:paraId="7046EE4F">
            <w:pPr>
              <w:keepNext w:val="0"/>
              <w:keepLines w:val="0"/>
              <w:suppressLineNumbers w:val="0"/>
              <w:spacing w:before="0" w:beforeAutospacing="0" w:after="50" w:afterAutospacing="0" w:line="360" w:lineRule="auto"/>
              <w:ind w:left="0" w:right="-10" w:rightChars="0"/>
              <w:jc w:val="left"/>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color w:val="auto"/>
                <w:sz w:val="24"/>
                <w:szCs w:val="24"/>
                <w:highlight w:val="none"/>
              </w:rPr>
              <w:t>投标人应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供有效的营业执照；</w:t>
            </w:r>
          </w:p>
        </w:tc>
        <w:tc>
          <w:tcPr>
            <w:tcW w:w="1146" w:type="pct"/>
            <w:vAlign w:val="center"/>
          </w:tcPr>
          <w:p w14:paraId="66F4B84A">
            <w:pPr>
              <w:keepNext w:val="0"/>
              <w:keepLines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1E83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516E082A">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2</w:t>
            </w:r>
          </w:p>
        </w:tc>
        <w:tc>
          <w:tcPr>
            <w:tcW w:w="925" w:type="pct"/>
            <w:tcBorders>
              <w:bottom w:val="single" w:color="auto" w:sz="4" w:space="0"/>
            </w:tcBorders>
            <w:vAlign w:val="center"/>
          </w:tcPr>
          <w:p w14:paraId="69F95AE5">
            <w:pPr>
              <w:keepNext w:val="0"/>
              <w:keepLines w:val="0"/>
              <w:suppressLineNumbers w:val="0"/>
              <w:spacing w:before="0" w:beforeAutospacing="0" w:after="50" w:afterAutospacing="0" w:line="360" w:lineRule="auto"/>
              <w:ind w:left="0"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55" w:type="pct"/>
            <w:tcBorders>
              <w:bottom w:val="single" w:color="auto" w:sz="4" w:space="0"/>
            </w:tcBorders>
            <w:vAlign w:val="center"/>
          </w:tcPr>
          <w:p w14:paraId="063F1714">
            <w:pPr>
              <w:keepNext w:val="0"/>
              <w:keepLines w:val="0"/>
              <w:suppressLineNumbers w:val="0"/>
              <w:spacing w:before="0" w:beforeAutospacing="0" w:after="50" w:afterAutospacing="0" w:line="360" w:lineRule="auto"/>
              <w:ind w:left="0"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146" w:type="pct"/>
            <w:vAlign w:val="center"/>
          </w:tcPr>
          <w:p w14:paraId="6AB041F2">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szCs w:val="20"/>
                <w:highlight w:val="none"/>
              </w:rPr>
              <w:t>详见第六章投标文件格式</w:t>
            </w:r>
            <w:r>
              <w:rPr>
                <w:rFonts w:hint="eastAsia" w:ascii="宋体" w:hAnsi="宋体" w:eastAsia="宋体"/>
                <w:color w:val="auto"/>
                <w:sz w:val="24"/>
                <w:szCs w:val="20"/>
                <w:highlight w:val="none"/>
                <w:lang w:eastAsia="zh-CN"/>
              </w:rPr>
              <w:t>。</w:t>
            </w:r>
          </w:p>
        </w:tc>
      </w:tr>
      <w:tr w14:paraId="6016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23B3796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3</w:t>
            </w:r>
          </w:p>
        </w:tc>
        <w:tc>
          <w:tcPr>
            <w:tcW w:w="925" w:type="pct"/>
            <w:tcBorders>
              <w:bottom w:val="single" w:color="auto" w:sz="4" w:space="0"/>
            </w:tcBorders>
            <w:vAlign w:val="center"/>
          </w:tcPr>
          <w:p w14:paraId="7CC4C8BE">
            <w:pPr>
              <w:keepNext w:val="0"/>
              <w:keepLines w:val="0"/>
              <w:suppressLineNumbers w:val="0"/>
              <w:spacing w:before="0" w:beforeAutospacing="0" w:after="50" w:afterAutospacing="0" w:line="360" w:lineRule="auto"/>
              <w:ind w:left="0" w:right="-10"/>
              <w:jc w:val="center"/>
              <w:rPr>
                <w:rFonts w:hint="default"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55" w:type="pct"/>
            <w:tcBorders>
              <w:bottom w:val="single" w:color="auto" w:sz="4" w:space="0"/>
            </w:tcBorders>
            <w:vAlign w:val="center"/>
          </w:tcPr>
          <w:p w14:paraId="7758296E">
            <w:pPr>
              <w:keepNext w:val="0"/>
              <w:keepLines w:val="0"/>
              <w:suppressLineNumbers w:val="0"/>
              <w:spacing w:before="0" w:beforeAutospacing="0" w:after="50" w:afterAutospacing="0" w:line="360" w:lineRule="auto"/>
              <w:ind w:left="0" w:right="-10" w:rightChars="0"/>
              <w:jc w:val="left"/>
              <w:rPr>
                <w:rFonts w:hint="default"/>
                <w:color w:val="auto"/>
                <w:szCs w:val="20"/>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146" w:type="pct"/>
            <w:tcBorders>
              <w:bottom w:val="single" w:color="auto" w:sz="4" w:space="0"/>
            </w:tcBorders>
            <w:vAlign w:val="center"/>
          </w:tcPr>
          <w:p w14:paraId="2533BEC9">
            <w:pPr>
              <w:keepNext w:val="0"/>
              <w:keepLines w:val="0"/>
              <w:suppressLineNumbers w:val="0"/>
              <w:spacing w:before="0" w:beforeAutospacing="0" w:after="0" w:afterAutospacing="0" w:line="360" w:lineRule="auto"/>
              <w:ind w:left="0" w:right="0"/>
              <w:jc w:val="left"/>
              <w:rPr>
                <w:rFonts w:hint="default" w:ascii="@仿宋_GB2312" w:hAnsi="@仿宋_GB2312" w:eastAsia="@仿宋_GB2312" w:cs="@仿宋_GB2312"/>
                <w:color w:val="auto"/>
                <w:kern w:val="2"/>
                <w:sz w:val="21"/>
                <w:szCs w:val="20"/>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bl>
    <w:p w14:paraId="3FE4A9D4">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DEEFBF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57B0FE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8"/>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15"/>
        <w:gridCol w:w="3395"/>
        <w:gridCol w:w="2496"/>
      </w:tblGrid>
      <w:tr w14:paraId="759F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B2377C4">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6AA0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35" w:type="pct"/>
            <w:tcBorders>
              <w:bottom w:val="single" w:color="auto" w:sz="4" w:space="0"/>
            </w:tcBorders>
            <w:vAlign w:val="center"/>
          </w:tcPr>
          <w:p w14:paraId="57069683">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06" w:type="pct"/>
            <w:tcBorders>
              <w:bottom w:val="single" w:color="auto" w:sz="4" w:space="0"/>
            </w:tcBorders>
            <w:vAlign w:val="center"/>
          </w:tcPr>
          <w:p w14:paraId="797B4C86">
            <w:pPr>
              <w:pStyle w:val="37"/>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936" w:type="pct"/>
            <w:tcBorders>
              <w:bottom w:val="single" w:color="auto" w:sz="4" w:space="0"/>
            </w:tcBorders>
            <w:vAlign w:val="center"/>
          </w:tcPr>
          <w:p w14:paraId="249DD3CB">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21" w:type="pct"/>
            <w:tcBorders>
              <w:bottom w:val="single" w:color="auto" w:sz="4" w:space="0"/>
            </w:tcBorders>
            <w:vAlign w:val="center"/>
          </w:tcPr>
          <w:p w14:paraId="26A1C666">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27D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79D7789E">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06" w:type="pct"/>
            <w:vAlign w:val="center"/>
          </w:tcPr>
          <w:p w14:paraId="692F6F03">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936" w:type="pct"/>
            <w:vAlign w:val="center"/>
          </w:tcPr>
          <w:p w14:paraId="03CB226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21" w:type="pct"/>
            <w:vAlign w:val="center"/>
          </w:tcPr>
          <w:p w14:paraId="2A3CEB88">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3C9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007C3DF7">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06" w:type="pct"/>
            <w:vAlign w:val="center"/>
          </w:tcPr>
          <w:p w14:paraId="39018DE9">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936" w:type="pct"/>
            <w:vAlign w:val="center"/>
          </w:tcPr>
          <w:p w14:paraId="27EE849C">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21" w:type="pct"/>
            <w:vAlign w:val="center"/>
          </w:tcPr>
          <w:p w14:paraId="6A0D0FC1">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60D2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2E320A55">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06" w:type="pct"/>
            <w:vAlign w:val="center"/>
          </w:tcPr>
          <w:p w14:paraId="7CF82E5F">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936" w:type="pct"/>
            <w:vAlign w:val="center"/>
          </w:tcPr>
          <w:p w14:paraId="3D73880F">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r>
              <w:rPr>
                <w:rFonts w:hint="eastAsia" w:asciiTheme="minorEastAsia" w:hAnsiTheme="minorEastAsia" w:eastAsiaTheme="minorEastAsia"/>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法定代表人参加开标会议，应携带本人身份证；委托代理人参加开标会议应携带</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lang w:val="en-US" w:eastAsia="zh-CN"/>
              </w:rPr>
              <w:t>手持或装订在投标文件中</w:t>
            </w:r>
            <w:r>
              <w:rPr>
                <w:rFonts w:hint="eastAsia" w:asciiTheme="minorEastAsia" w:hAnsiTheme="minorEastAsia" w:eastAsiaTheme="minorEastAsia"/>
                <w:b/>
                <w:bCs/>
                <w:color w:val="auto"/>
                <w:sz w:val="24"/>
                <w:szCs w:val="28"/>
                <w:highlight w:val="none"/>
                <w:lang w:eastAsia="zh-CN"/>
              </w:rPr>
              <w:t>）</w:t>
            </w:r>
            <w:r>
              <w:rPr>
                <w:rFonts w:hint="eastAsia" w:asciiTheme="minorEastAsia" w:hAnsiTheme="minorEastAsia" w:eastAsiaTheme="minorEastAsia"/>
                <w:b/>
                <w:bCs/>
                <w:color w:val="auto"/>
                <w:sz w:val="24"/>
                <w:szCs w:val="28"/>
                <w:highlight w:val="none"/>
              </w:rPr>
              <w:t>法定代表人授权书和本人身份证。</w:t>
            </w:r>
          </w:p>
        </w:tc>
        <w:tc>
          <w:tcPr>
            <w:tcW w:w="1421" w:type="pct"/>
            <w:vAlign w:val="center"/>
          </w:tcPr>
          <w:p w14:paraId="3030055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1D4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0CB6B921">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06" w:type="pct"/>
            <w:vAlign w:val="center"/>
          </w:tcPr>
          <w:p w14:paraId="661DEDAE">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936" w:type="pct"/>
            <w:vAlign w:val="center"/>
          </w:tcPr>
          <w:p w14:paraId="7F0B26F1">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421" w:type="pct"/>
            <w:vAlign w:val="center"/>
          </w:tcPr>
          <w:p w14:paraId="335AFE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36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472D2A6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5</w:t>
            </w:r>
          </w:p>
        </w:tc>
        <w:tc>
          <w:tcPr>
            <w:tcW w:w="1206" w:type="pct"/>
            <w:vAlign w:val="center"/>
          </w:tcPr>
          <w:p w14:paraId="2DC1FD5C">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936" w:type="pct"/>
            <w:vAlign w:val="center"/>
          </w:tcPr>
          <w:p w14:paraId="130ED3B5">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21" w:type="pct"/>
            <w:vAlign w:val="center"/>
          </w:tcPr>
          <w:p w14:paraId="3868226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E2C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1C2477C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6</w:t>
            </w:r>
          </w:p>
        </w:tc>
        <w:tc>
          <w:tcPr>
            <w:tcW w:w="1206" w:type="pct"/>
            <w:vAlign w:val="center"/>
          </w:tcPr>
          <w:p w14:paraId="2E5EF8D5">
            <w:pPr>
              <w:keepNext w:val="0"/>
              <w:keepLines w:val="0"/>
              <w:suppressLineNumbers w:val="0"/>
              <w:spacing w:before="0" w:beforeAutospacing="0" w:after="0" w:afterAutospacing="0" w:line="360" w:lineRule="auto"/>
              <w:ind w:left="0" w:right="0"/>
              <w:jc w:val="center"/>
              <w:outlineLvl w:val="2"/>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val="en-US" w:eastAsia="zh-CN"/>
              </w:rPr>
              <w:t>技术</w:t>
            </w:r>
            <w:r>
              <w:rPr>
                <w:rFonts w:hint="eastAsia" w:asciiTheme="minorEastAsia" w:hAnsiTheme="minorEastAsia" w:eastAsiaTheme="minorEastAsia"/>
                <w:color w:val="auto"/>
                <w:sz w:val="24"/>
                <w:szCs w:val="28"/>
                <w:highlight w:val="none"/>
              </w:rPr>
              <w:t>响应情况</w:t>
            </w:r>
          </w:p>
        </w:tc>
        <w:tc>
          <w:tcPr>
            <w:tcW w:w="1936" w:type="pct"/>
            <w:vAlign w:val="center"/>
          </w:tcPr>
          <w:p w14:paraId="5D809D20">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符合招标文件采购需求中技术参数</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21" w:type="pct"/>
            <w:vAlign w:val="center"/>
          </w:tcPr>
          <w:p w14:paraId="588342B2">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65F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Align w:val="center"/>
          </w:tcPr>
          <w:p w14:paraId="6FC94AB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7</w:t>
            </w:r>
          </w:p>
        </w:tc>
        <w:tc>
          <w:tcPr>
            <w:tcW w:w="1206" w:type="pct"/>
            <w:vAlign w:val="center"/>
          </w:tcPr>
          <w:p w14:paraId="031B3383">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936" w:type="pct"/>
            <w:vAlign w:val="center"/>
          </w:tcPr>
          <w:p w14:paraId="4079A559">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421" w:type="pct"/>
            <w:vAlign w:val="center"/>
          </w:tcPr>
          <w:p w14:paraId="034DE5E2">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p>
        </w:tc>
      </w:tr>
    </w:tbl>
    <w:p w14:paraId="0E4327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B34BF95">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7C6B89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B7338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11</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70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19</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8"/>
        <w:tblW w:w="6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209"/>
        <w:gridCol w:w="6551"/>
        <w:gridCol w:w="1457"/>
      </w:tblGrid>
      <w:tr w14:paraId="66DB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0A34FC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类别</w:t>
            </w:r>
          </w:p>
        </w:tc>
        <w:tc>
          <w:tcPr>
            <w:tcW w:w="589" w:type="pct"/>
            <w:tcBorders>
              <w:top w:val="single" w:color="auto" w:sz="4" w:space="0"/>
              <w:left w:val="single" w:color="auto" w:sz="4" w:space="0"/>
              <w:bottom w:val="single" w:color="auto" w:sz="4" w:space="0"/>
              <w:right w:val="single" w:color="auto" w:sz="4" w:space="0"/>
            </w:tcBorders>
            <w:vAlign w:val="center"/>
          </w:tcPr>
          <w:p w14:paraId="34BE8BD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评分内容</w:t>
            </w:r>
          </w:p>
        </w:tc>
        <w:tc>
          <w:tcPr>
            <w:tcW w:w="3195" w:type="pct"/>
            <w:tcBorders>
              <w:top w:val="single" w:color="auto" w:sz="4" w:space="0"/>
              <w:left w:val="single" w:color="auto" w:sz="4" w:space="0"/>
              <w:bottom w:val="single" w:color="auto" w:sz="4" w:space="0"/>
              <w:right w:val="single" w:color="auto" w:sz="4" w:space="0"/>
            </w:tcBorders>
            <w:vAlign w:val="center"/>
          </w:tcPr>
          <w:p w14:paraId="2E0EDB6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评分标准</w:t>
            </w:r>
          </w:p>
        </w:tc>
        <w:tc>
          <w:tcPr>
            <w:tcW w:w="710" w:type="pct"/>
            <w:tcBorders>
              <w:top w:val="single" w:color="auto" w:sz="4" w:space="0"/>
              <w:left w:val="single" w:color="auto" w:sz="4" w:space="0"/>
              <w:bottom w:val="single" w:color="auto" w:sz="4" w:space="0"/>
              <w:right w:val="single" w:color="auto" w:sz="4" w:space="0"/>
            </w:tcBorders>
            <w:vAlign w:val="center"/>
          </w:tcPr>
          <w:p w14:paraId="108A299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须提供的证明材料</w:t>
            </w:r>
          </w:p>
        </w:tc>
      </w:tr>
      <w:tr w14:paraId="645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tcBorders>
              <w:top w:val="single" w:color="auto" w:sz="4" w:space="0"/>
              <w:left w:val="single" w:color="auto" w:sz="4" w:space="0"/>
              <w:right w:val="single" w:color="auto" w:sz="4" w:space="0"/>
            </w:tcBorders>
            <w:vAlign w:val="center"/>
          </w:tcPr>
          <w:p w14:paraId="18D0B47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资信分</w:t>
            </w:r>
          </w:p>
          <w:p w14:paraId="6A432BD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auto"/>
                <w:sz w:val="24"/>
                <w:szCs w:val="20"/>
                <w:highlight w:val="none"/>
                <w:lang w:eastAsia="zh-CN"/>
              </w:rPr>
            </w:pP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11分</w:t>
            </w:r>
            <w:r>
              <w:rPr>
                <w:rFonts w:hint="eastAsia" w:asciiTheme="minorEastAsia" w:hAnsiTheme="minorEastAsia" w:eastAsiaTheme="minorEastAsia"/>
                <w:color w:val="auto"/>
                <w:sz w:val="24"/>
                <w:szCs w:val="20"/>
                <w:highlight w:val="none"/>
                <w:lang w:eastAsia="zh-CN"/>
              </w:rPr>
              <w:t>）</w:t>
            </w:r>
          </w:p>
        </w:tc>
        <w:tc>
          <w:tcPr>
            <w:tcW w:w="589" w:type="pct"/>
            <w:tcBorders>
              <w:top w:val="single" w:color="auto" w:sz="4" w:space="0"/>
              <w:left w:val="single" w:color="auto" w:sz="4" w:space="0"/>
              <w:bottom w:val="single" w:color="auto" w:sz="4" w:space="0"/>
              <w:right w:val="single" w:color="auto" w:sz="4" w:space="0"/>
            </w:tcBorders>
            <w:vAlign w:val="center"/>
          </w:tcPr>
          <w:p w14:paraId="359C151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Cs/>
                <w:color w:val="auto"/>
                <w:sz w:val="24"/>
                <w:szCs w:val="20"/>
                <w:highlight w:val="none"/>
                <w:lang w:val="en-US" w:eastAsia="zh-CN"/>
              </w:rPr>
            </w:pPr>
            <w:r>
              <w:rPr>
                <w:rFonts w:hint="eastAsia" w:asciiTheme="minorEastAsia" w:hAnsiTheme="minorEastAsia" w:eastAsiaTheme="minorEastAsia"/>
                <w:bCs/>
                <w:color w:val="auto"/>
                <w:sz w:val="24"/>
                <w:szCs w:val="20"/>
                <w:highlight w:val="none"/>
                <w:lang w:val="en-US" w:eastAsia="zh-CN"/>
              </w:rPr>
              <w:t>业绩</w:t>
            </w:r>
          </w:p>
          <w:p w14:paraId="2C7BAFB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Cs/>
                <w:color w:val="auto"/>
                <w:sz w:val="24"/>
                <w:szCs w:val="20"/>
                <w:highlight w:val="none"/>
                <w:lang w:val="en-US" w:eastAsia="zh-CN"/>
              </w:rPr>
            </w:pPr>
            <w:r>
              <w:rPr>
                <w:rFonts w:hint="eastAsia" w:asciiTheme="minorEastAsia" w:hAnsiTheme="minorEastAsia" w:eastAsiaTheme="minorEastAsia"/>
                <w:bCs/>
                <w:color w:val="auto"/>
                <w:sz w:val="24"/>
                <w:szCs w:val="20"/>
                <w:highlight w:val="none"/>
                <w:lang w:val="en-US" w:eastAsia="zh-CN"/>
              </w:rPr>
              <w:t>（4分）</w:t>
            </w:r>
          </w:p>
        </w:tc>
        <w:tc>
          <w:tcPr>
            <w:tcW w:w="3195" w:type="pct"/>
            <w:tcBorders>
              <w:top w:val="single" w:color="auto" w:sz="4" w:space="0"/>
              <w:left w:val="single" w:color="auto" w:sz="4" w:space="0"/>
              <w:bottom w:val="single" w:color="auto" w:sz="4" w:space="0"/>
              <w:right w:val="single" w:color="auto" w:sz="4" w:space="0"/>
            </w:tcBorders>
            <w:vAlign w:val="center"/>
          </w:tcPr>
          <w:p w14:paraId="3872A89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自2023年1月1日以来（以合同签订时间为准），供应商具有</w:t>
            </w:r>
            <w:r>
              <w:rPr>
                <w:rFonts w:hint="eastAsia" w:asciiTheme="minorEastAsia" w:hAnsiTheme="minorEastAsia" w:eastAsiaTheme="minorEastAsia"/>
                <w:color w:val="auto"/>
                <w:sz w:val="24"/>
                <w:szCs w:val="20"/>
                <w:highlight w:val="none"/>
                <w:lang w:val="en-US" w:eastAsia="zh-CN"/>
              </w:rPr>
              <w:t>学</w:t>
            </w:r>
            <w:r>
              <w:rPr>
                <w:rFonts w:hint="eastAsia" w:asciiTheme="minorEastAsia" w:hAnsiTheme="minorEastAsia" w:eastAsiaTheme="minorEastAsia"/>
                <w:color w:val="auto"/>
                <w:sz w:val="24"/>
                <w:szCs w:val="20"/>
                <w:highlight w:val="none"/>
              </w:rPr>
              <w:t>校网站群系统建设或升级类项目业绩的，每提供一个得</w:t>
            </w:r>
            <w:r>
              <w:rPr>
                <w:rFonts w:hint="eastAsia" w:asciiTheme="minorEastAsia" w:hAnsiTheme="minorEastAsia" w:eastAsiaTheme="minorEastAsia"/>
                <w:color w:val="auto"/>
                <w:sz w:val="24"/>
                <w:szCs w:val="20"/>
                <w:highlight w:val="none"/>
                <w:lang w:val="en-US" w:eastAsia="zh-CN"/>
              </w:rPr>
              <w:t>2</w:t>
            </w:r>
            <w:r>
              <w:rPr>
                <w:rFonts w:hint="eastAsia" w:asciiTheme="minorEastAsia" w:hAnsiTheme="minorEastAsia" w:eastAsiaTheme="minorEastAsia"/>
                <w:color w:val="auto"/>
                <w:sz w:val="24"/>
                <w:szCs w:val="20"/>
                <w:highlight w:val="none"/>
              </w:rPr>
              <w:t>分，满分</w:t>
            </w:r>
            <w:r>
              <w:rPr>
                <w:rFonts w:hint="eastAsia" w:asciiTheme="minorEastAsia" w:hAnsiTheme="minorEastAsia" w:eastAsiaTheme="minorEastAsia"/>
                <w:color w:val="auto"/>
                <w:sz w:val="24"/>
                <w:szCs w:val="20"/>
                <w:highlight w:val="none"/>
                <w:lang w:val="en-US" w:eastAsia="zh-CN"/>
              </w:rPr>
              <w:t>4</w:t>
            </w:r>
            <w:r>
              <w:rPr>
                <w:rFonts w:hint="eastAsia" w:asciiTheme="minorEastAsia" w:hAnsiTheme="minorEastAsia" w:eastAsiaTheme="minorEastAsia"/>
                <w:color w:val="auto"/>
                <w:sz w:val="24"/>
                <w:szCs w:val="20"/>
                <w:highlight w:val="none"/>
              </w:rPr>
              <w:t>分。</w:t>
            </w:r>
          </w:p>
          <w:p w14:paraId="09039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Theme="minorEastAsia" w:hAnsiTheme="minorEastAsia" w:eastAsiaTheme="minorEastAsia"/>
                <w:bCs/>
                <w:color w:val="auto"/>
                <w:sz w:val="24"/>
                <w:szCs w:val="20"/>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注：①投标人提供业绩合同原件或加盖投标人公章的复印件，如合同中无法体现签订时间、项目内容的，须另附业主（合同甲方）证明材料扫描件。</w:t>
            </w:r>
          </w:p>
        </w:tc>
        <w:tc>
          <w:tcPr>
            <w:tcW w:w="710" w:type="pct"/>
            <w:vMerge w:val="restart"/>
            <w:tcBorders>
              <w:top w:val="single" w:color="auto" w:sz="4" w:space="0"/>
              <w:left w:val="single" w:color="auto" w:sz="4" w:space="0"/>
              <w:right w:val="single" w:color="auto" w:sz="4" w:space="0"/>
            </w:tcBorders>
            <w:vAlign w:val="center"/>
          </w:tcPr>
          <w:p w14:paraId="3402D48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auto"/>
                <w:sz w:val="24"/>
                <w:szCs w:val="20"/>
                <w:highlight w:val="none"/>
                <w:lang w:val="en-US" w:eastAsia="zh-CN"/>
              </w:rPr>
            </w:pPr>
            <w:r>
              <w:rPr>
                <w:rFonts w:hint="eastAsia" w:asciiTheme="minorEastAsia" w:hAnsiTheme="minorEastAsia" w:eastAsiaTheme="minorEastAsia"/>
                <w:b/>
                <w:bCs/>
                <w:color w:val="auto"/>
                <w:sz w:val="21"/>
                <w:szCs w:val="21"/>
                <w:highlight w:val="none"/>
              </w:rPr>
              <w:t>资信标中须能充分有效反映出本评分项内容，否则不予计分</w:t>
            </w:r>
          </w:p>
        </w:tc>
      </w:tr>
      <w:tr w14:paraId="5DF9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vMerge w:val="continue"/>
            <w:tcBorders>
              <w:left w:val="single" w:color="auto" w:sz="4" w:space="0"/>
              <w:right w:val="single" w:color="auto" w:sz="4" w:space="0"/>
            </w:tcBorders>
            <w:vAlign w:val="center"/>
          </w:tcPr>
          <w:p w14:paraId="2D6911CA">
            <w:pPr>
              <w:keepNext w:val="0"/>
              <w:keepLines w:val="0"/>
              <w:suppressLineNumbers w:val="0"/>
              <w:spacing w:before="0" w:beforeAutospacing="0" w:after="0" w:afterAutospacing="0" w:line="360" w:lineRule="auto"/>
              <w:ind w:left="0" w:right="0" w:firstLine="435"/>
              <w:jc w:val="center"/>
              <w:rPr>
                <w:rFonts w:hint="default" w:asciiTheme="minorEastAsia" w:hAnsiTheme="minorEastAsia" w:eastAsiaTheme="minorEastAsia"/>
                <w:b/>
                <w:bCs/>
                <w:color w:val="auto"/>
                <w:sz w:val="24"/>
                <w:szCs w:val="20"/>
                <w:highlight w:val="none"/>
              </w:rPr>
            </w:pPr>
          </w:p>
        </w:tc>
        <w:tc>
          <w:tcPr>
            <w:tcW w:w="589" w:type="pct"/>
            <w:tcBorders>
              <w:top w:val="single" w:color="auto" w:sz="4" w:space="0"/>
              <w:left w:val="single" w:color="auto" w:sz="4" w:space="0"/>
              <w:right w:val="single" w:color="auto" w:sz="4" w:space="0"/>
            </w:tcBorders>
            <w:vAlign w:val="center"/>
          </w:tcPr>
          <w:p w14:paraId="1FAD875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企业综合实力</w:t>
            </w:r>
          </w:p>
          <w:p w14:paraId="5EA8E2E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3分</w:t>
            </w:r>
            <w:r>
              <w:rPr>
                <w:rFonts w:hint="eastAsia" w:asciiTheme="minorEastAsia" w:hAnsiTheme="minorEastAsia" w:eastAsiaTheme="minorEastAsia"/>
                <w:color w:val="auto"/>
                <w:sz w:val="24"/>
                <w:szCs w:val="20"/>
                <w:highlight w:val="none"/>
                <w:lang w:eastAsia="zh-CN"/>
              </w:rPr>
              <w:t>）</w:t>
            </w:r>
          </w:p>
        </w:tc>
        <w:tc>
          <w:tcPr>
            <w:tcW w:w="3195" w:type="pct"/>
            <w:tcBorders>
              <w:top w:val="single" w:color="auto" w:sz="4" w:space="0"/>
              <w:left w:val="single" w:color="auto" w:sz="4" w:space="0"/>
              <w:right w:val="single" w:color="auto" w:sz="4" w:space="0"/>
            </w:tcBorders>
            <w:vAlign w:val="center"/>
          </w:tcPr>
          <w:p w14:paraId="17C665D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1、投标人具有下列软件著作权登记证书的，每提供一个得0.5分，本项满分3分。</w:t>
            </w:r>
          </w:p>
          <w:p w14:paraId="09A7F1D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1)具有网站群管理系统著作权登记证书；</w:t>
            </w:r>
          </w:p>
          <w:p w14:paraId="6BBF0E7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2)具有网站栏目管理系统著作权登记证书；</w:t>
            </w:r>
          </w:p>
          <w:p w14:paraId="785409F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3)具有内容在线预检系统著作权登记证书；</w:t>
            </w:r>
          </w:p>
          <w:p w14:paraId="7E3D9F0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4)具备智能敏感信息处理类产品著作权登记。</w:t>
            </w:r>
          </w:p>
          <w:p w14:paraId="3461F00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5)具有网站用户与权限管理系统软件著作权登记证书；</w:t>
            </w:r>
          </w:p>
          <w:p w14:paraId="6458D6E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6)具有自定义工作流系统著作权登记证书。</w:t>
            </w:r>
          </w:p>
          <w:p w14:paraId="1129490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7)具有网站群word云导入平台著作权登记证书。</w:t>
            </w:r>
          </w:p>
          <w:p w14:paraId="4131156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8)具有新闻投稿系统著作权登记证书。</w:t>
            </w:r>
          </w:p>
          <w:p w14:paraId="52B32345">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
                <w:bCs/>
                <w:color w:val="auto"/>
                <w:sz w:val="24"/>
                <w:szCs w:val="20"/>
                <w:highlight w:val="none"/>
                <w:lang w:val="en-US" w:eastAsia="zh-CN"/>
              </w:rPr>
            </w:pPr>
            <w:r>
              <w:rPr>
                <w:rFonts w:hint="eastAsia" w:asciiTheme="minorEastAsia" w:hAnsiTheme="minorEastAsia" w:eastAsiaTheme="minorEastAsia"/>
                <w:b/>
                <w:bCs/>
                <w:color w:val="auto"/>
                <w:sz w:val="24"/>
                <w:szCs w:val="20"/>
                <w:highlight w:val="none"/>
                <w:lang w:val="en-US" w:eastAsia="zh-CN"/>
              </w:rPr>
              <w:t>注：投标人提供上述证书加盖投标人公章的复印件。</w:t>
            </w:r>
          </w:p>
        </w:tc>
        <w:tc>
          <w:tcPr>
            <w:tcW w:w="710" w:type="pct"/>
            <w:vMerge w:val="continue"/>
            <w:tcBorders>
              <w:left w:val="single" w:color="auto" w:sz="4" w:space="0"/>
              <w:right w:val="single" w:color="auto" w:sz="4" w:space="0"/>
            </w:tcBorders>
            <w:vAlign w:val="center"/>
          </w:tcPr>
          <w:p w14:paraId="5B7C2EC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p>
        </w:tc>
      </w:tr>
      <w:tr w14:paraId="4D9F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4" w:hRule="atLeast"/>
          <w:jc w:val="center"/>
        </w:trPr>
        <w:tc>
          <w:tcPr>
            <w:tcW w:w="503" w:type="pct"/>
            <w:vMerge w:val="continue"/>
            <w:tcBorders>
              <w:left w:val="single" w:color="auto" w:sz="4" w:space="0"/>
              <w:right w:val="single" w:color="auto" w:sz="4" w:space="0"/>
            </w:tcBorders>
            <w:vAlign w:val="center"/>
          </w:tcPr>
          <w:p w14:paraId="1FFEC299">
            <w:pPr>
              <w:keepNext w:val="0"/>
              <w:keepLines w:val="0"/>
              <w:suppressLineNumbers w:val="0"/>
              <w:spacing w:before="0" w:beforeAutospacing="0" w:after="0" w:afterAutospacing="0" w:line="360" w:lineRule="auto"/>
              <w:ind w:left="0" w:right="0" w:firstLine="435"/>
              <w:jc w:val="center"/>
              <w:rPr>
                <w:rFonts w:hint="default" w:asciiTheme="minorEastAsia" w:hAnsiTheme="minorEastAsia" w:eastAsiaTheme="minorEastAsia"/>
                <w:b/>
                <w:bCs/>
                <w:color w:val="auto"/>
                <w:sz w:val="24"/>
                <w:szCs w:val="20"/>
                <w:highlight w:val="none"/>
              </w:rPr>
            </w:pPr>
          </w:p>
        </w:tc>
        <w:tc>
          <w:tcPr>
            <w:tcW w:w="589" w:type="pct"/>
            <w:tcBorders>
              <w:left w:val="single" w:color="auto" w:sz="4" w:space="0"/>
              <w:right w:val="single" w:color="auto" w:sz="4" w:space="0"/>
            </w:tcBorders>
            <w:vAlign w:val="center"/>
          </w:tcPr>
          <w:p w14:paraId="3058667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系统安全（4分）</w:t>
            </w:r>
          </w:p>
        </w:tc>
        <w:tc>
          <w:tcPr>
            <w:tcW w:w="3195" w:type="pct"/>
            <w:tcBorders>
              <w:top w:val="single" w:color="auto" w:sz="4" w:space="0"/>
              <w:left w:val="single" w:color="auto" w:sz="4" w:space="0"/>
              <w:bottom w:val="single" w:color="auto" w:sz="4" w:space="0"/>
              <w:right w:val="single" w:color="auto" w:sz="4" w:space="0"/>
            </w:tcBorders>
            <w:vAlign w:val="center"/>
          </w:tcPr>
          <w:p w14:paraId="337490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1、为保证本次采购网站群系统安全，要求所投站群供应商在“国家信息安全漏洞共享平台（https://www.cnvd.org.cn/）”查询无此公司漏洞通报记录，供应商提供未被通报（收录）承诺函及相关查询截图的得2分。</w:t>
            </w:r>
          </w:p>
          <w:p w14:paraId="70D77AE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bCs/>
                <w:color w:val="auto"/>
                <w:sz w:val="24"/>
                <w:szCs w:val="20"/>
                <w:highlight w:val="none"/>
                <w:lang w:val="en-US" w:eastAsia="zh-CN"/>
              </w:rPr>
            </w:pPr>
            <w:r>
              <w:rPr>
                <w:rFonts w:hint="eastAsia" w:asciiTheme="minorEastAsia" w:hAnsiTheme="minorEastAsia" w:eastAsiaTheme="minorEastAsia"/>
                <w:b/>
                <w:bCs/>
                <w:color w:val="auto"/>
                <w:sz w:val="24"/>
                <w:szCs w:val="20"/>
                <w:highlight w:val="none"/>
                <w:lang w:val="en-US" w:eastAsia="zh-CN"/>
              </w:rPr>
              <w:t>注：</w:t>
            </w:r>
            <w:r>
              <w:rPr>
                <w:rFonts w:hint="eastAsia" w:ascii="宋体" w:hAnsi="宋体" w:eastAsia="宋体" w:cs="宋体"/>
                <w:b/>
                <w:bCs/>
                <w:color w:val="auto"/>
                <w:sz w:val="24"/>
                <w:szCs w:val="20"/>
                <w:highlight w:val="none"/>
                <w:lang w:val="en-US" w:eastAsia="zh-CN"/>
              </w:rPr>
              <w:t>①</w:t>
            </w:r>
            <w:r>
              <w:rPr>
                <w:rFonts w:hint="eastAsia" w:asciiTheme="minorEastAsia" w:hAnsiTheme="minorEastAsia" w:eastAsiaTheme="minorEastAsia"/>
                <w:b/>
                <w:bCs/>
                <w:color w:val="auto"/>
                <w:sz w:val="24"/>
                <w:szCs w:val="20"/>
                <w:highlight w:val="none"/>
                <w:lang w:val="en-US" w:eastAsia="zh-CN"/>
              </w:rPr>
              <w:t>投标人提供上述内容承诺（格式自拟）。</w:t>
            </w:r>
          </w:p>
          <w:p w14:paraId="715E25A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②</w:t>
            </w:r>
            <w:r>
              <w:rPr>
                <w:rFonts w:hint="eastAsia" w:asciiTheme="minorEastAsia" w:hAnsiTheme="minorEastAsia" w:eastAsiaTheme="minorEastAsia"/>
                <w:b/>
                <w:bCs/>
                <w:color w:val="auto"/>
                <w:sz w:val="24"/>
                <w:szCs w:val="20"/>
                <w:highlight w:val="none"/>
                <w:lang w:val="en-US" w:eastAsia="zh-CN"/>
              </w:rPr>
              <w:t>采购人有权核实承诺真实性，如投标人承诺情况与事实不符，视同虚假响应，采购人有权解除合同。</w:t>
            </w:r>
          </w:p>
          <w:p w14:paraId="2B7767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2、所投网站群管理平台版本，等级保护三级安全评测报告（报告内容必须至少包括等保合规性检查、渗透测试、源代码审计三项内容），同时满足的得2分，未提供的不得分。</w:t>
            </w:r>
          </w:p>
          <w:p w14:paraId="1D39E277">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b/>
                <w:bCs/>
                <w:color w:val="auto"/>
                <w:sz w:val="24"/>
                <w:szCs w:val="20"/>
                <w:highlight w:val="none"/>
                <w:lang w:val="en-US" w:eastAsia="zh-CN"/>
              </w:rPr>
            </w:pPr>
            <w:r>
              <w:rPr>
                <w:rFonts w:hint="eastAsia" w:asciiTheme="minorEastAsia" w:hAnsiTheme="minorEastAsia" w:eastAsiaTheme="minorEastAsia"/>
                <w:b/>
                <w:bCs/>
                <w:color w:val="auto"/>
                <w:sz w:val="24"/>
                <w:szCs w:val="20"/>
                <w:highlight w:val="none"/>
                <w:lang w:val="en-US" w:eastAsia="zh-CN"/>
              </w:rPr>
              <w:t>注：投标人提供教育信息安全等级保护三级安全评测报告复印件。</w:t>
            </w:r>
          </w:p>
        </w:tc>
        <w:tc>
          <w:tcPr>
            <w:tcW w:w="710" w:type="pct"/>
            <w:vMerge w:val="continue"/>
            <w:tcBorders>
              <w:left w:val="single" w:color="auto" w:sz="4" w:space="0"/>
              <w:right w:val="single" w:color="auto" w:sz="4" w:space="0"/>
            </w:tcBorders>
            <w:vAlign w:val="center"/>
          </w:tcPr>
          <w:p w14:paraId="1FC06F9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p>
        </w:tc>
      </w:tr>
      <w:tr w14:paraId="06E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tcBorders>
              <w:left w:val="single" w:color="auto" w:sz="4" w:space="0"/>
              <w:right w:val="single" w:color="auto" w:sz="4" w:space="0"/>
            </w:tcBorders>
            <w:vAlign w:val="center"/>
          </w:tcPr>
          <w:p w14:paraId="05FF7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技术分</w:t>
            </w:r>
          </w:p>
          <w:p w14:paraId="0B5222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（70分）</w:t>
            </w:r>
          </w:p>
        </w:tc>
        <w:tc>
          <w:tcPr>
            <w:tcW w:w="589" w:type="pct"/>
            <w:tcBorders>
              <w:top w:val="single" w:color="auto" w:sz="4" w:space="0"/>
              <w:left w:val="single" w:color="auto" w:sz="4" w:space="0"/>
              <w:bottom w:val="single" w:color="auto" w:sz="4" w:space="0"/>
              <w:right w:val="single" w:color="auto" w:sz="4" w:space="0"/>
            </w:tcBorders>
            <w:vAlign w:val="center"/>
          </w:tcPr>
          <w:p w14:paraId="74CC6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技术要求的符合性（30分）</w:t>
            </w:r>
          </w:p>
        </w:tc>
        <w:tc>
          <w:tcPr>
            <w:tcW w:w="3195" w:type="pct"/>
            <w:tcBorders>
              <w:top w:val="single" w:color="auto" w:sz="4" w:space="0"/>
              <w:left w:val="single" w:color="auto" w:sz="4" w:space="0"/>
              <w:bottom w:val="single" w:color="auto" w:sz="4" w:space="0"/>
              <w:right w:val="single" w:color="auto" w:sz="4" w:space="0"/>
            </w:tcBorders>
            <w:vAlign w:val="center"/>
          </w:tcPr>
          <w:p w14:paraId="136C5B68">
            <w:pPr>
              <w:keepNext w:val="0"/>
              <w:keepLines w:val="0"/>
              <w:pageBreakBefore w:val="0"/>
              <w:suppressLineNumbers w:val="0"/>
              <w:tabs>
                <w:tab w:val="left" w:pos="425"/>
              </w:tabs>
              <w:kinsoku/>
              <w:wordWrap/>
              <w:overflowPunct/>
              <w:topLinePunct w:val="0"/>
              <w:autoSpaceDE/>
              <w:autoSpaceDN/>
              <w:bidi w:val="0"/>
              <w:adjustRightInd/>
              <w:snapToGrid/>
              <w:spacing w:before="0" w:beforeAutospacing="0" w:after="0" w:afterAutospacing="0" w:line="360" w:lineRule="auto"/>
              <w:ind w:left="0" w:leftChars="0" w:right="0" w:firstLine="0" w:firstLineChars="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根据系统具体技术参数的响应情况进行综合打分，所投产品</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服务</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全部参数完全满足或优于招标文件的，得满分</w:t>
            </w:r>
            <w:r>
              <w:rPr>
                <w:rFonts w:hint="eastAsia" w:asciiTheme="minorEastAsia" w:hAnsiTheme="minorEastAsia" w:eastAsiaTheme="minorEastAsia" w:cstheme="minorEastAsia"/>
                <w:b/>
                <w:bCs/>
                <w:color w:val="auto"/>
                <w:sz w:val="24"/>
                <w:szCs w:val="24"/>
                <w:highlight w:val="none"/>
                <w:lang w:val="en-US" w:eastAsia="zh-CN"/>
              </w:rPr>
              <w:t>30</w:t>
            </w:r>
            <w:r>
              <w:rPr>
                <w:rFonts w:hint="eastAsia" w:asciiTheme="minorEastAsia" w:hAnsiTheme="minorEastAsia" w:eastAsiaTheme="minorEastAsia" w:cstheme="minorEastAsia"/>
                <w:b/>
                <w:bCs/>
                <w:color w:val="auto"/>
                <w:sz w:val="24"/>
                <w:szCs w:val="24"/>
                <w:highlight w:val="none"/>
              </w:rPr>
              <w:t>分：</w:t>
            </w:r>
          </w:p>
          <w:p w14:paraId="5CD866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val="en-US" w:eastAsia="zh-CN" w:bidi="ar-SA"/>
              </w:rPr>
              <w:t>标注“★”符号的为重要技术参数，共1项须全部满足，若不响应或负偏离按无效标处理。</w:t>
            </w:r>
          </w:p>
          <w:p w14:paraId="7CAF5E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2)标注“▲”符号的为主要技术参数，投标时需提供对应参数的功能截图及承诺函（升级后的网站具有该功能），承诺函格式自拟，共15条，每满足一条得2分，共计30分。</w:t>
            </w: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标注“▲”符号的技术参数，未能提供截图（或承诺函）、截图（或承诺）内容不完整均</w:t>
            </w:r>
            <w:r>
              <w:rPr>
                <w:rFonts w:hint="eastAsia" w:asciiTheme="minorEastAsia" w:hAnsiTheme="minorEastAsia" w:eastAsiaTheme="minorEastAsia" w:cstheme="minorEastAsia"/>
                <w:b/>
                <w:bCs/>
                <w:color w:val="auto"/>
                <w:sz w:val="24"/>
                <w:szCs w:val="24"/>
                <w:highlight w:val="none"/>
              </w:rPr>
              <w:t>视为不满足要求</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对应参数不</w:t>
            </w:r>
            <w:r>
              <w:rPr>
                <w:rFonts w:hint="eastAsia" w:ascii="宋体" w:hAnsi="宋体" w:eastAsia="宋体" w:cs="宋体"/>
                <w:color w:val="auto"/>
                <w:sz w:val="24"/>
                <w:szCs w:val="24"/>
                <w:highlight w:val="none"/>
                <w:lang w:val="en-US" w:eastAsia="zh-CN" w:bidi="ar-SA"/>
              </w:rPr>
              <w:t>得分</w:t>
            </w:r>
            <w:r>
              <w:rPr>
                <w:rFonts w:hint="eastAsia" w:ascii="宋体" w:hAnsi="宋体" w:eastAsia="宋体" w:cs="宋体"/>
                <w:color w:val="auto"/>
                <w:sz w:val="24"/>
                <w:szCs w:val="24"/>
                <w:highlight w:val="none"/>
                <w:lang w:val="en-US" w:bidi="ar-SA"/>
              </w:rPr>
              <w:t>。</w:t>
            </w:r>
          </w:p>
          <w:p w14:paraId="4B636B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3）未标符号的为本项目基本需求，投标文件中无需列明，但在合同签订后将作为履约验收的依据，投标人在投标文件中提供相关承诺函扫描件，承诺函格式自拟，但须明确体现上述内容，否则投标无效。</w:t>
            </w:r>
          </w:p>
          <w:p w14:paraId="2017BB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bidi="ar-SA"/>
              </w:rPr>
            </w:pPr>
            <w:r>
              <w:rPr>
                <w:rFonts w:hint="eastAsia" w:ascii="宋体" w:hAnsi="宋体" w:eastAsia="宋体" w:cs="宋体"/>
                <w:color w:val="auto"/>
                <w:sz w:val="24"/>
                <w:szCs w:val="24"/>
                <w:highlight w:val="none"/>
                <w:lang w:val="en-US" w:eastAsia="zh-CN" w:bidi="ar-SA"/>
              </w:rPr>
              <w:t>4）非标注“★”、“▲”项的技术参数指标，评审时依据投标人提供的承诺函内容</w:t>
            </w:r>
            <w:r>
              <w:rPr>
                <w:rFonts w:hint="eastAsia" w:ascii="宋体" w:hAnsi="宋体" w:eastAsia="宋体" w:cs="宋体"/>
                <w:color w:val="auto"/>
                <w:sz w:val="24"/>
                <w:szCs w:val="24"/>
                <w:highlight w:val="none"/>
                <w:lang w:val="en-US" w:bidi="ar-SA"/>
              </w:rPr>
              <w:t>作为评审依据。</w:t>
            </w:r>
          </w:p>
          <w:p w14:paraId="6D8B10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Theme="minorEastAsia" w:hAnsiTheme="minorEastAsia" w:eastAsiaTheme="minorEastAsia"/>
                <w:b/>
                <w:bCs/>
                <w:color w:val="auto"/>
                <w:sz w:val="24"/>
                <w:szCs w:val="20"/>
                <w:highlight w:val="none"/>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bidi="ar-SA"/>
              </w:rPr>
              <w:t>如某项标识中包含多条技术参数或要求，则该项标识所含内容均需满足或优于招标文件要求，否则不予认可</w:t>
            </w:r>
            <w:r>
              <w:rPr>
                <w:rFonts w:hint="eastAsia" w:ascii="宋体" w:hAnsi="宋体" w:eastAsia="宋体" w:cs="宋体"/>
                <w:color w:val="auto"/>
                <w:sz w:val="24"/>
                <w:szCs w:val="24"/>
                <w:highlight w:val="none"/>
                <w:lang w:val="en-US" w:eastAsia="zh-CN" w:bidi="ar-SA"/>
              </w:rPr>
              <w:t>。</w:t>
            </w:r>
          </w:p>
        </w:tc>
        <w:tc>
          <w:tcPr>
            <w:tcW w:w="710" w:type="pct"/>
            <w:vMerge w:val="restart"/>
            <w:tcBorders>
              <w:top w:val="single" w:color="auto" w:sz="4" w:space="0"/>
              <w:left w:val="single" w:color="auto" w:sz="4" w:space="0"/>
              <w:right w:val="single" w:color="auto" w:sz="4" w:space="0"/>
            </w:tcBorders>
            <w:vAlign w:val="center"/>
          </w:tcPr>
          <w:p w14:paraId="28B390F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1"/>
                <w:szCs w:val="21"/>
                <w:highlight w:val="none"/>
                <w:lang w:val="en-US" w:eastAsia="zh-CN"/>
              </w:rPr>
              <w:t>技术</w:t>
            </w:r>
            <w:r>
              <w:rPr>
                <w:rFonts w:hint="eastAsia" w:asciiTheme="minorEastAsia" w:hAnsiTheme="minorEastAsia" w:eastAsiaTheme="minorEastAsia"/>
                <w:b/>
                <w:bCs/>
                <w:color w:val="auto"/>
                <w:sz w:val="21"/>
                <w:szCs w:val="21"/>
                <w:highlight w:val="none"/>
              </w:rPr>
              <w:t>标中须能充分有效反映出本评分项内容，否则不予计分</w:t>
            </w:r>
          </w:p>
        </w:tc>
      </w:tr>
      <w:tr w14:paraId="10D8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tcBorders>
              <w:left w:val="single" w:color="auto" w:sz="4" w:space="0"/>
              <w:right w:val="single" w:color="auto" w:sz="4" w:space="0"/>
            </w:tcBorders>
            <w:vAlign w:val="center"/>
          </w:tcPr>
          <w:p w14:paraId="6A8134C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09622DA9">
            <w:pPr>
              <w:keepNext w:val="0"/>
              <w:keepLines w:val="0"/>
              <w:suppressLineNumbers w:val="0"/>
              <w:snapToGrid w:val="0"/>
              <w:spacing w:before="0" w:beforeAutospacing="0" w:after="0" w:afterAutospacing="0"/>
              <w:ind w:left="0" w:right="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拟派项目团队</w:t>
            </w:r>
          </w:p>
          <w:p w14:paraId="4E34CC7F">
            <w:pPr>
              <w:keepNext w:val="0"/>
              <w:keepLines w:val="0"/>
              <w:suppressLineNumbers w:val="0"/>
              <w:snapToGrid w:val="0"/>
              <w:spacing w:before="0" w:beforeAutospacing="0" w:after="0" w:afterAutospacing="0"/>
              <w:ind w:left="0" w:right="0" w:firstLine="0" w:firstLineChars="0"/>
              <w:rPr>
                <w:rFonts w:hint="default" w:eastAsia="@仿宋_GB2312" w:cs="宋体"/>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3195" w:type="pct"/>
            <w:tcBorders>
              <w:top w:val="single" w:color="auto" w:sz="4" w:space="0"/>
              <w:left w:val="single" w:color="auto" w:sz="4" w:space="0"/>
              <w:bottom w:val="single" w:color="auto" w:sz="4" w:space="0"/>
              <w:right w:val="single" w:color="auto" w:sz="4" w:space="0"/>
            </w:tcBorders>
            <w:vAlign w:val="center"/>
          </w:tcPr>
          <w:p w14:paraId="1E0B8A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项目经理：</w:t>
            </w:r>
          </w:p>
          <w:p w14:paraId="2751E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具有全国计算机技术与软件专业技术资格（水平)考试高级及以上系列证书的得2分，中级得1分，其他不得分。</w:t>
            </w:r>
          </w:p>
          <w:p w14:paraId="05C043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项目组成员中：（不含项目经理）</w:t>
            </w:r>
          </w:p>
          <w:p w14:paraId="17B44E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w:t>
            </w:r>
            <w:r>
              <w:rPr>
                <w:rFonts w:hint="eastAsia" w:asciiTheme="minorEastAsia" w:hAnsiTheme="minorEastAsia" w:eastAsiaTheme="minorEastAsia" w:cstheme="minorEastAsia"/>
                <w:color w:val="auto"/>
                <w:kern w:val="2"/>
                <w:sz w:val="24"/>
                <w:szCs w:val="24"/>
                <w:highlight w:val="none"/>
                <w:lang w:val="en-US" w:eastAsia="zh-CN" w:bidi="ar-SA"/>
              </w:rPr>
              <w:t>具备全国计算机技术与软件专业技术资格（水平)考试软件设计师证书的得1分；</w:t>
            </w:r>
          </w:p>
          <w:p w14:paraId="75C1F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Theme="minorEastAsia" w:hAnsiTheme="minorEastAsia" w:eastAsiaTheme="minorEastAsia" w:cstheme="minorEastAsia"/>
                <w:color w:val="auto"/>
                <w:kern w:val="2"/>
                <w:sz w:val="24"/>
                <w:szCs w:val="24"/>
                <w:highlight w:val="none"/>
                <w:lang w:val="en-US" w:eastAsia="zh-CN" w:bidi="ar-SA"/>
              </w:rPr>
              <w:t>具备ACA或Adobe认证证书，得1分。</w:t>
            </w:r>
          </w:p>
          <w:p w14:paraId="459721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①上述人员</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含项目经理及成员人员，下同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配备名单（格式自拟）；</w:t>
            </w:r>
          </w:p>
          <w:p w14:paraId="773E3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②提供上述人员证书</w:t>
            </w:r>
            <w:r>
              <w:rPr>
                <w:rFonts w:hint="eastAsia" w:ascii="宋体" w:hAnsi="宋体" w:eastAsia="宋体" w:cs="宋体"/>
                <w:b/>
                <w:bCs/>
                <w:color w:val="auto"/>
                <w:sz w:val="24"/>
                <w:szCs w:val="24"/>
                <w:highlight w:val="none"/>
              </w:rPr>
              <w:t>原件或加盖单位公章的复印件。</w:t>
            </w:r>
          </w:p>
          <w:p w14:paraId="146BB0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rPr>
              <w:t>上述人员须持有社保部门出具的本单位为其缴纳的</w:t>
            </w:r>
            <w:r>
              <w:rPr>
                <w:rFonts w:hint="eastAsia" w:ascii="宋体" w:hAnsi="宋体" w:eastAsia="宋体" w:cs="宋体"/>
                <w:b/>
                <w:bCs/>
                <w:color w:val="auto"/>
                <w:sz w:val="24"/>
                <w:szCs w:val="24"/>
                <w:highlight w:val="none"/>
                <w:lang w:val="en-US" w:eastAsia="zh-CN"/>
              </w:rPr>
              <w:t>开标</w:t>
            </w:r>
            <w:r>
              <w:rPr>
                <w:rFonts w:hint="eastAsia" w:ascii="宋体" w:hAnsi="宋体" w:eastAsia="宋体" w:cs="宋体"/>
                <w:b/>
                <w:bCs/>
                <w:color w:val="auto"/>
                <w:sz w:val="24"/>
                <w:szCs w:val="24"/>
                <w:highlight w:val="none"/>
              </w:rPr>
              <w:t>前近半年内任意一月的养老保险证明（含官网在线打印件，证明文件两个月内有效）。</w:t>
            </w:r>
          </w:p>
          <w:p w14:paraId="4C08C2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④同一人拥有多类证书不重复计分。</w:t>
            </w:r>
          </w:p>
        </w:tc>
        <w:tc>
          <w:tcPr>
            <w:tcW w:w="710" w:type="pct"/>
            <w:vMerge w:val="continue"/>
            <w:tcBorders>
              <w:left w:val="single" w:color="auto" w:sz="4" w:space="0"/>
              <w:right w:val="single" w:color="auto" w:sz="4" w:space="0"/>
            </w:tcBorders>
            <w:vAlign w:val="center"/>
          </w:tcPr>
          <w:p w14:paraId="6F705A7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12A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03" w:type="pct"/>
            <w:vMerge w:val="continue"/>
            <w:tcBorders>
              <w:left w:val="single" w:color="auto" w:sz="4" w:space="0"/>
              <w:right w:val="single" w:color="auto" w:sz="4" w:space="0"/>
            </w:tcBorders>
            <w:vAlign w:val="center"/>
          </w:tcPr>
          <w:p w14:paraId="61E74FF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vAlign w:val="center"/>
          </w:tcPr>
          <w:p w14:paraId="29F85D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产品技术方案</w:t>
            </w:r>
          </w:p>
          <w:p w14:paraId="337F5D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3195" w:type="pct"/>
            <w:tcBorders>
              <w:top w:val="single" w:color="auto" w:sz="4" w:space="0"/>
              <w:left w:val="single" w:color="auto" w:sz="4" w:space="0"/>
              <w:bottom w:val="single" w:color="auto" w:sz="4" w:space="0"/>
              <w:right w:val="single" w:color="auto" w:sz="4" w:space="0"/>
            </w:tcBorders>
            <w:vAlign w:val="center"/>
          </w:tcPr>
          <w:p w14:paraId="3745A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供应商针对本项目提供项目建设方案，评标委员会根据方案的对需求的满足性、设计的科学合理性、思路的清晰性进行综合评审：</w:t>
            </w:r>
          </w:p>
          <w:p w14:paraId="020AA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）提供全面详实、完整的项目实施方案，满足符合采购人实际项目需求，针对性、可行性、实用性强，得</w:t>
            </w:r>
            <w:r>
              <w:rPr>
                <w:rFonts w:hint="eastAsia" w:asciiTheme="minorEastAsia" w:hAnsiTheme="minorEastAsia" w:eastAsiaTheme="minorEastAsia" w:cstheme="minorEastAsia"/>
                <w:color w:val="auto"/>
                <w:kern w:val="2"/>
                <w:sz w:val="24"/>
                <w:szCs w:val="24"/>
                <w:highlight w:val="none"/>
                <w:lang w:val="en-US" w:eastAsia="zh-CN" w:bidi="ar-SA"/>
              </w:rPr>
              <w:t>7-5</w:t>
            </w:r>
            <w:r>
              <w:rPr>
                <w:rFonts w:hint="eastAsia" w:ascii="宋体" w:hAnsi="宋体" w:eastAsia="宋体" w:cs="宋体"/>
                <w:color w:val="auto"/>
                <w:kern w:val="0"/>
                <w:sz w:val="24"/>
                <w:szCs w:val="24"/>
                <w:highlight w:val="none"/>
                <w:lang w:val="en-US" w:eastAsia="zh-CN" w:bidi="ar"/>
              </w:rPr>
              <w:t xml:space="preserve">分； </w:t>
            </w:r>
          </w:p>
          <w:p w14:paraId="1C52E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2）提供全面、完整的项目实施方案，基本满足符合采购人实际项目需求，具有针对性、可行性、实用性，得</w:t>
            </w:r>
            <w:r>
              <w:rPr>
                <w:rFonts w:hint="eastAsia" w:asciiTheme="minorEastAsia" w:hAnsiTheme="minorEastAsia" w:eastAsiaTheme="minorEastAsia" w:cstheme="minorEastAsia"/>
                <w:color w:val="auto"/>
                <w:kern w:val="2"/>
                <w:sz w:val="24"/>
                <w:szCs w:val="24"/>
                <w:highlight w:val="none"/>
                <w:lang w:val="en-US" w:eastAsia="zh-CN" w:bidi="ar-SA"/>
              </w:rPr>
              <w:t>4-2</w:t>
            </w:r>
            <w:r>
              <w:rPr>
                <w:rFonts w:hint="eastAsia" w:ascii="宋体" w:hAnsi="宋体" w:eastAsia="宋体" w:cs="宋体"/>
                <w:color w:val="auto"/>
                <w:kern w:val="0"/>
                <w:sz w:val="24"/>
                <w:szCs w:val="24"/>
                <w:highlight w:val="none"/>
                <w:lang w:val="en-US" w:eastAsia="zh-CN" w:bidi="ar"/>
              </w:rPr>
              <w:t xml:space="preserve">分；  </w:t>
            </w:r>
          </w:p>
          <w:p w14:paraId="51E2C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3）提供的项目实施方案有待提升，内容的可行性、实用性、针对性有待改善得1分； </w:t>
            </w:r>
          </w:p>
          <w:p w14:paraId="0B428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w:t>
            </w:r>
            <w:r>
              <w:rPr>
                <w:rFonts w:hint="eastAsia" w:asciiTheme="minorEastAsia" w:hAnsiTheme="minorEastAsia" w:eastAsiaTheme="minorEastAsia" w:cstheme="minorEastAsia"/>
                <w:color w:val="auto"/>
                <w:kern w:val="2"/>
                <w:sz w:val="24"/>
                <w:szCs w:val="24"/>
                <w:highlight w:val="none"/>
                <w:lang w:val="en-US" w:eastAsia="zh-CN" w:bidi="ar-SA"/>
              </w:rPr>
              <w:t>未提供或提供差的不得分。</w:t>
            </w:r>
          </w:p>
        </w:tc>
        <w:tc>
          <w:tcPr>
            <w:tcW w:w="710" w:type="pct"/>
            <w:vMerge w:val="continue"/>
            <w:tcBorders>
              <w:left w:val="single" w:color="auto" w:sz="4" w:space="0"/>
              <w:right w:val="single" w:color="auto" w:sz="4" w:space="0"/>
            </w:tcBorders>
            <w:vAlign w:val="center"/>
          </w:tcPr>
          <w:p w14:paraId="392746E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534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503" w:type="pct"/>
            <w:vMerge w:val="restart"/>
            <w:tcBorders>
              <w:left w:val="single" w:color="auto" w:sz="4" w:space="0"/>
              <w:right w:val="single" w:color="auto" w:sz="4" w:space="0"/>
            </w:tcBorders>
            <w:vAlign w:val="center"/>
          </w:tcPr>
          <w:p w14:paraId="3AFE917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14:paraId="6A7937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部署方案（5分）</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14:paraId="025F5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供应商针对本项目提供系统部署方案，同时提供了合理的安全使用及管理策略方案，安全管理方案编制内容（包含但不限于数据备份安全、安全防护措施等），评标委员会根据方案的对项目需求及实际运行的可行性、合理性、实用性等进行综合评审： </w:t>
            </w:r>
          </w:p>
          <w:p w14:paraId="59533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）提供全面详实、完整的项目实施方案，满足符合采购人实际项目需求，针对性、可行性、实用性强，得</w:t>
            </w:r>
            <w:r>
              <w:rPr>
                <w:rFonts w:hint="eastAsia" w:asciiTheme="minorEastAsia" w:hAnsiTheme="minorEastAsia" w:eastAsiaTheme="minorEastAsia" w:cstheme="minorEastAsia"/>
                <w:color w:val="auto"/>
                <w:kern w:val="2"/>
                <w:sz w:val="24"/>
                <w:szCs w:val="24"/>
                <w:highlight w:val="none"/>
                <w:lang w:val="en-US" w:eastAsia="zh-CN" w:bidi="ar-SA"/>
              </w:rPr>
              <w:t>5-4</w:t>
            </w:r>
            <w:r>
              <w:rPr>
                <w:rFonts w:hint="eastAsia" w:ascii="宋体" w:hAnsi="宋体" w:eastAsia="宋体" w:cs="宋体"/>
                <w:color w:val="auto"/>
                <w:kern w:val="0"/>
                <w:sz w:val="24"/>
                <w:szCs w:val="24"/>
                <w:highlight w:val="none"/>
                <w:lang w:val="en-US" w:eastAsia="zh-CN" w:bidi="ar"/>
              </w:rPr>
              <w:t xml:space="preserve">分； </w:t>
            </w:r>
          </w:p>
          <w:p w14:paraId="60FDC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2）提供全面、完整的项目实施方案，基本满足符合采购人实际项目需求，具有针对性、可行性、实用性，得</w:t>
            </w:r>
            <w:r>
              <w:rPr>
                <w:rFonts w:hint="eastAsia" w:asciiTheme="minorEastAsia" w:hAnsiTheme="minorEastAsia" w:eastAsiaTheme="minorEastAsia" w:cstheme="minorEastAsia"/>
                <w:color w:val="auto"/>
                <w:kern w:val="2"/>
                <w:sz w:val="24"/>
                <w:szCs w:val="24"/>
                <w:highlight w:val="none"/>
                <w:lang w:val="en-US" w:eastAsia="zh-CN" w:bidi="ar-SA"/>
              </w:rPr>
              <w:t>3-2</w:t>
            </w:r>
            <w:r>
              <w:rPr>
                <w:rFonts w:hint="eastAsia" w:ascii="宋体" w:hAnsi="宋体" w:eastAsia="宋体" w:cs="宋体"/>
                <w:color w:val="auto"/>
                <w:kern w:val="0"/>
                <w:sz w:val="24"/>
                <w:szCs w:val="24"/>
                <w:highlight w:val="none"/>
                <w:lang w:val="en-US" w:eastAsia="zh-CN" w:bidi="ar"/>
              </w:rPr>
              <w:t xml:space="preserve">分；  </w:t>
            </w:r>
          </w:p>
          <w:p w14:paraId="18A73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3）提供的项目实施方案有待提升，内容的可行性、实用性、针对性有待改善得1分； </w:t>
            </w:r>
          </w:p>
          <w:p w14:paraId="6B142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w:t>
            </w:r>
            <w:r>
              <w:rPr>
                <w:rFonts w:hint="eastAsia" w:asciiTheme="minorEastAsia" w:hAnsiTheme="minorEastAsia" w:eastAsiaTheme="minorEastAsia" w:cstheme="minorEastAsia"/>
                <w:color w:val="auto"/>
                <w:kern w:val="2"/>
                <w:sz w:val="24"/>
                <w:szCs w:val="24"/>
                <w:highlight w:val="none"/>
                <w:lang w:val="en-US" w:eastAsia="zh-CN" w:bidi="ar-SA"/>
              </w:rPr>
              <w:t>未提供或提供差的不得分</w:t>
            </w:r>
            <w:r>
              <w:rPr>
                <w:rFonts w:hint="eastAsia" w:ascii="宋体" w:hAnsi="宋体" w:eastAsia="宋体" w:cs="宋体"/>
                <w:color w:val="auto"/>
                <w:kern w:val="0"/>
                <w:sz w:val="24"/>
                <w:szCs w:val="24"/>
                <w:highlight w:val="none"/>
                <w:lang w:val="en-US" w:eastAsia="zh-CN" w:bidi="ar"/>
              </w:rPr>
              <w:t>。</w:t>
            </w:r>
          </w:p>
        </w:tc>
        <w:tc>
          <w:tcPr>
            <w:tcW w:w="710" w:type="pct"/>
            <w:vMerge w:val="continue"/>
            <w:tcBorders>
              <w:left w:val="single" w:color="auto" w:sz="4" w:space="0"/>
              <w:right w:val="single" w:color="auto" w:sz="4" w:space="0"/>
            </w:tcBorders>
            <w:vAlign w:val="center"/>
          </w:tcPr>
          <w:p w14:paraId="11876B58">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0B92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tcBorders>
              <w:left w:val="single" w:color="auto" w:sz="4" w:space="0"/>
              <w:right w:val="single" w:color="auto" w:sz="4" w:space="0"/>
            </w:tcBorders>
            <w:vAlign w:val="center"/>
          </w:tcPr>
          <w:p w14:paraId="2952E75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14:paraId="07A6E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项目实施服务方案（7分）</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14:paraId="068ADA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供应商针对本项目提供项目实施方案，评标委员会根据方案的对需求的满足性、设计的科学合理性、思路的清晰性进行综合评审： </w:t>
            </w:r>
          </w:p>
          <w:p w14:paraId="1C9D17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1）实施方案完全满足需求，总体设计科学合理，考虑周全，各功能模块明确、思路清晰的，得7-5分；</w:t>
            </w:r>
          </w:p>
          <w:p w14:paraId="1A3C8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2）方案基本满足需求，总体设计较科学合理，考虑较周全，各功能模块较明确、思路较清晰的，得4-2分；</w:t>
            </w:r>
          </w:p>
          <w:p w14:paraId="407FB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3）项目实施方案有待进一步完善和充实的得 1分；</w:t>
            </w:r>
          </w:p>
          <w:p w14:paraId="0C3255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4）未提供或提供差的不得分。</w:t>
            </w:r>
          </w:p>
        </w:tc>
        <w:tc>
          <w:tcPr>
            <w:tcW w:w="710" w:type="pct"/>
            <w:vMerge w:val="continue"/>
            <w:tcBorders>
              <w:left w:val="single" w:color="auto" w:sz="4" w:space="0"/>
              <w:right w:val="single" w:color="auto" w:sz="4" w:space="0"/>
            </w:tcBorders>
            <w:vAlign w:val="center"/>
          </w:tcPr>
          <w:p w14:paraId="5B808676">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6EED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tcBorders>
              <w:left w:val="single" w:color="auto" w:sz="4" w:space="0"/>
              <w:right w:val="single" w:color="auto" w:sz="4" w:space="0"/>
            </w:tcBorders>
            <w:vAlign w:val="center"/>
          </w:tcPr>
          <w:p w14:paraId="1541B89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14:paraId="3BF8B8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售后服务与相关保障措施</w:t>
            </w:r>
          </w:p>
          <w:p w14:paraId="699DC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14:paraId="340A3C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投标人根据本项目特点，制定项目</w:t>
            </w:r>
            <w:r>
              <w:rPr>
                <w:rFonts w:hint="eastAsia" w:asciiTheme="minorEastAsia" w:hAnsiTheme="minorEastAsia" w:eastAsiaTheme="minorEastAsia" w:cstheme="minorEastAsia"/>
                <w:color w:val="auto"/>
                <w:kern w:val="2"/>
                <w:sz w:val="24"/>
                <w:szCs w:val="24"/>
                <w:highlight w:val="none"/>
                <w:lang w:val="en-US" w:eastAsia="zh-CN" w:bidi="ar-SA"/>
              </w:rPr>
              <w:t>售后服务与相关保障措施</w:t>
            </w:r>
          </w:p>
          <w:p w14:paraId="5B52EED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0"/>
                <w:highlight w:val="none"/>
                <w:lang w:val="en-US" w:eastAsia="zh-CN"/>
              </w:rPr>
              <w:t>（内容包括但不限于质保响应时间、服务计划、维修响应的时间、解决</w:t>
            </w:r>
            <w:r>
              <w:rPr>
                <w:rFonts w:hint="eastAsia" w:asciiTheme="minorEastAsia" w:hAnsiTheme="minorEastAsia" w:eastAsiaTheme="minorEastAsia" w:cstheme="minorEastAsia"/>
                <w:color w:val="auto"/>
                <w:kern w:val="2"/>
                <w:sz w:val="24"/>
                <w:szCs w:val="24"/>
                <w:highlight w:val="none"/>
                <w:lang w:val="en-US" w:eastAsia="zh-CN" w:bidi="ar-SA"/>
              </w:rPr>
              <w:t>问题及措施、质保期外服务、培训方案等内容）。</w:t>
            </w:r>
          </w:p>
          <w:p w14:paraId="3B21C2C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1）具有完善详实的售后服务及相关保障措施，各项服务措施切实可行，及时响应技术支持，培训方案详细可行的得7-5分；</w:t>
            </w:r>
          </w:p>
          <w:p w14:paraId="46F0ED9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outlineLvl w:val="9"/>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2）售后服务与相关保障措施内容完善，响应服务能力基本满足项目需求的，培训</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可行的</w:t>
            </w:r>
            <w:r>
              <w:rPr>
                <w:rFonts w:hint="eastAsia" w:ascii="宋体" w:hAnsi="宋体" w:eastAsia="宋体" w:cs="宋体"/>
                <w:color w:val="auto"/>
                <w:sz w:val="24"/>
                <w:szCs w:val="24"/>
                <w:highlight w:val="none"/>
              </w:rPr>
              <w:t>得</w:t>
            </w:r>
            <w:r>
              <w:rPr>
                <w:rFonts w:hint="eastAsia" w:asciiTheme="minorEastAsia" w:hAnsiTheme="minorEastAsia" w:eastAsiaTheme="minorEastAsia" w:cstheme="minorEastAsia"/>
                <w:color w:val="auto"/>
                <w:kern w:val="2"/>
                <w:sz w:val="24"/>
                <w:szCs w:val="24"/>
                <w:highlight w:val="none"/>
                <w:lang w:val="en-US" w:eastAsia="zh-CN" w:bidi="ar-SA"/>
              </w:rPr>
              <w:t>4-2</w:t>
            </w:r>
            <w:r>
              <w:rPr>
                <w:rFonts w:hint="eastAsia" w:ascii="宋体" w:hAnsi="宋体" w:eastAsia="宋体" w:cs="宋体"/>
                <w:color w:val="auto"/>
                <w:sz w:val="24"/>
                <w:szCs w:val="24"/>
                <w:highlight w:val="none"/>
              </w:rPr>
              <w:t>分；</w:t>
            </w:r>
          </w:p>
          <w:p w14:paraId="5C6FFFE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outlineLvl w:val="9"/>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0"/>
                <w:highlight w:val="none"/>
                <w:lang w:val="en-US" w:eastAsia="zh-CN"/>
              </w:rPr>
              <w:t>3）</w:t>
            </w:r>
            <w:r>
              <w:rPr>
                <w:rFonts w:hint="eastAsia" w:asciiTheme="minorEastAsia" w:hAnsiTheme="minorEastAsia" w:eastAsiaTheme="minorEastAsia" w:cstheme="minorEastAsia"/>
                <w:color w:val="auto"/>
                <w:kern w:val="2"/>
                <w:sz w:val="24"/>
                <w:szCs w:val="24"/>
                <w:highlight w:val="none"/>
                <w:lang w:val="en-US" w:eastAsia="zh-CN" w:bidi="ar-SA"/>
              </w:rPr>
              <w:t>售后服务与相关保障措施</w:t>
            </w:r>
            <w:r>
              <w:rPr>
                <w:rFonts w:hint="eastAsia" w:ascii="宋体" w:hAnsi="宋体" w:eastAsia="宋体" w:cs="宋体"/>
                <w:color w:val="auto"/>
                <w:sz w:val="24"/>
                <w:szCs w:val="24"/>
                <w:highlight w:val="none"/>
              </w:rPr>
              <w:t>内容</w:t>
            </w:r>
            <w:r>
              <w:rPr>
                <w:rFonts w:hint="eastAsia" w:asciiTheme="minorEastAsia" w:hAnsiTheme="minorEastAsia" w:eastAsiaTheme="minorEastAsia" w:cstheme="minorEastAsia"/>
                <w:color w:val="auto"/>
                <w:sz w:val="24"/>
                <w:szCs w:val="24"/>
                <w:highlight w:val="none"/>
                <w:lang w:val="en-US" w:eastAsia="zh-CN"/>
              </w:rPr>
              <w:t>实施有矛盾，有逻辑漏洞，</w:t>
            </w:r>
            <w:r>
              <w:rPr>
                <w:rFonts w:hint="eastAsia" w:ascii="宋体" w:hAnsi="宋体" w:eastAsia="宋体" w:cs="宋体"/>
                <w:color w:val="auto"/>
                <w:sz w:val="24"/>
                <w:szCs w:val="24"/>
                <w:highlight w:val="none"/>
              </w:rPr>
              <w:t>培训方案细节有待完善</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6160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0"/>
                <w:highlight w:val="none"/>
                <w:lang w:val="en-US" w:eastAsia="zh-CN"/>
              </w:rPr>
              <w:t>4）</w:t>
            </w:r>
            <w:r>
              <w:rPr>
                <w:rFonts w:hint="eastAsia" w:asciiTheme="minorEastAsia" w:hAnsiTheme="minorEastAsia" w:eastAsiaTheme="minorEastAsia" w:cstheme="minorEastAsia"/>
                <w:color w:val="auto"/>
                <w:kern w:val="2"/>
                <w:sz w:val="24"/>
                <w:szCs w:val="24"/>
                <w:highlight w:val="none"/>
                <w:lang w:val="en-US" w:eastAsia="zh-CN" w:bidi="ar-SA"/>
              </w:rPr>
              <w:t>未提供或提供差的不得分。</w:t>
            </w:r>
          </w:p>
        </w:tc>
        <w:tc>
          <w:tcPr>
            <w:tcW w:w="710" w:type="pct"/>
            <w:vMerge w:val="continue"/>
            <w:tcBorders>
              <w:left w:val="single" w:color="auto" w:sz="4" w:space="0"/>
              <w:right w:val="single" w:color="auto" w:sz="4" w:space="0"/>
            </w:tcBorders>
            <w:vAlign w:val="center"/>
          </w:tcPr>
          <w:p w14:paraId="6222BC41">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1969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tcBorders>
              <w:left w:val="single" w:color="auto" w:sz="4" w:space="0"/>
              <w:right w:val="single" w:color="auto" w:sz="4" w:space="0"/>
            </w:tcBorders>
            <w:vAlign w:val="center"/>
          </w:tcPr>
          <w:p w14:paraId="31FAEFF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14:paraId="17D0BD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eastAsia="宋体"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质保期（10分）</w:t>
            </w:r>
          </w:p>
        </w:tc>
        <w:tc>
          <w:tcPr>
            <w:tcW w:w="3195" w:type="pct"/>
            <w:tcBorders>
              <w:top w:val="single" w:color="auto" w:sz="4" w:space="0"/>
              <w:left w:val="single" w:color="auto" w:sz="4" w:space="0"/>
              <w:bottom w:val="single" w:color="auto" w:sz="4" w:space="0"/>
              <w:right w:val="single" w:color="auto" w:sz="4" w:space="0"/>
            </w:tcBorders>
            <w:shd w:val="clear" w:color="auto" w:fill="auto"/>
            <w:vAlign w:val="center"/>
          </w:tcPr>
          <w:p w14:paraId="7B5CF6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bidi="ar-SA"/>
              </w:rPr>
              <w:t>在满足招标文件免费质保期</w:t>
            </w:r>
            <w:r>
              <w:rPr>
                <w:rFonts w:hint="eastAsia" w:ascii="宋体" w:hAnsi="宋体" w:eastAsia="宋体" w:cs="宋体"/>
                <w:color w:val="auto"/>
                <w:sz w:val="24"/>
                <w:szCs w:val="24"/>
                <w:highlight w:val="none"/>
                <w:lang w:val="en-US" w:eastAsia="zh-CN" w:bidi="ar-SA"/>
              </w:rPr>
              <w:t>叁年</w:t>
            </w:r>
            <w:r>
              <w:rPr>
                <w:rFonts w:hint="eastAsia" w:ascii="宋体" w:hAnsi="宋体" w:eastAsia="宋体" w:cs="宋体"/>
                <w:color w:val="auto"/>
                <w:sz w:val="24"/>
                <w:szCs w:val="24"/>
                <w:highlight w:val="none"/>
                <w:lang w:val="en-US" w:bidi="ar-SA"/>
              </w:rPr>
              <w:t>的基础上，投标人每增加一年免费质保期，得</w:t>
            </w:r>
            <w:r>
              <w:rPr>
                <w:rFonts w:hint="eastAsia"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bidi="ar-SA"/>
              </w:rPr>
              <w:t>分（质保期限增加时间不满一个整年度的不计分），最多得</w:t>
            </w:r>
            <w:r>
              <w:rPr>
                <w:rFonts w:hint="eastAsia" w:cs="宋体"/>
                <w:color w:val="auto"/>
                <w:sz w:val="24"/>
                <w:szCs w:val="24"/>
                <w:highlight w:val="none"/>
                <w:lang w:val="en-US" w:eastAsia="zh-CN" w:bidi="ar-SA"/>
              </w:rPr>
              <w:t>10</w:t>
            </w:r>
            <w:r>
              <w:rPr>
                <w:rFonts w:hint="eastAsia" w:ascii="宋体" w:hAnsi="宋体" w:eastAsia="宋体" w:cs="宋体"/>
                <w:color w:val="auto"/>
                <w:sz w:val="24"/>
                <w:szCs w:val="24"/>
                <w:highlight w:val="none"/>
                <w:lang w:val="en-US" w:bidi="ar-SA"/>
              </w:rPr>
              <w:t>分。</w:t>
            </w:r>
          </w:p>
        </w:tc>
        <w:tc>
          <w:tcPr>
            <w:tcW w:w="710" w:type="pct"/>
            <w:vMerge w:val="continue"/>
            <w:tcBorders>
              <w:left w:val="single" w:color="auto" w:sz="4" w:space="0"/>
              <w:bottom w:val="single" w:color="auto" w:sz="4" w:space="0"/>
              <w:right w:val="single" w:color="auto" w:sz="4" w:space="0"/>
            </w:tcBorders>
            <w:vAlign w:val="center"/>
          </w:tcPr>
          <w:p w14:paraId="14F5C50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4044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tcBorders>
              <w:left w:val="single" w:color="auto" w:sz="4" w:space="0"/>
              <w:right w:val="single" w:color="auto" w:sz="4" w:space="0"/>
            </w:tcBorders>
            <w:shd w:val="clear" w:color="auto" w:fill="auto"/>
            <w:vAlign w:val="center"/>
          </w:tcPr>
          <w:p w14:paraId="6A0A831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价格分</w:t>
            </w:r>
          </w:p>
          <w:p w14:paraId="5DB230A3">
            <w:pPr>
              <w:keepNext w:val="0"/>
              <w:keepLines w:val="0"/>
              <w:suppressLineNumbers w:val="0"/>
              <w:spacing w:before="0" w:beforeAutospacing="0" w:after="0" w:afterAutospacing="0" w:line="360" w:lineRule="auto"/>
              <w:ind w:left="0" w:leftChars="0" w:right="0" w:rightChars="0"/>
              <w:jc w:val="center"/>
              <w:rPr>
                <w:rFonts w:hint="eastAsia" w:cs="@仿宋_GB2312" w:asciiTheme="minorEastAsia" w:hAnsiTheme="minorEastAsia" w:eastAsiaTheme="minorEastAsia"/>
                <w:b/>
                <w:bCs/>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u w:val="single"/>
                <w:lang w:val="en-US" w:eastAsia="zh-CN"/>
              </w:rPr>
              <w:t>19</w:t>
            </w:r>
            <w:r>
              <w:rPr>
                <w:rFonts w:hint="eastAsia" w:asciiTheme="minorEastAsia" w:hAnsiTheme="minorEastAsia" w:eastAsiaTheme="minorEastAsia"/>
                <w:color w:val="auto"/>
                <w:sz w:val="24"/>
                <w:szCs w:val="20"/>
                <w:highlight w:val="none"/>
              </w:rPr>
              <w:t>分）</w:t>
            </w:r>
          </w:p>
        </w:tc>
        <w:tc>
          <w:tcPr>
            <w:tcW w:w="449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160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szCs w:val="20"/>
                <w:highlight w:val="none"/>
                <w:u w:val="single"/>
                <w:lang w:val="en-US" w:eastAsia="zh-CN"/>
              </w:rPr>
              <w:t>19</w:t>
            </w:r>
            <w:r>
              <w:rPr>
                <w:rFonts w:hint="eastAsia" w:asciiTheme="minorEastAsia" w:hAnsiTheme="minorEastAsia" w:eastAsiaTheme="minorEastAsia"/>
                <w:color w:val="auto"/>
                <w:sz w:val="24"/>
                <w:szCs w:val="20"/>
                <w:highlight w:val="none"/>
              </w:rPr>
              <w:t>分。其他投标人的价格分统一按照下列公式计算：</w:t>
            </w:r>
          </w:p>
          <w:p w14:paraId="766B5207">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投标报价得分＝（评标基准价/投标报价）×</w:t>
            </w:r>
            <w:r>
              <w:rPr>
                <w:rFonts w:hint="eastAsia" w:asciiTheme="minorEastAsia" w:hAnsiTheme="minorEastAsia" w:eastAsiaTheme="minorEastAsia"/>
                <w:color w:val="auto"/>
                <w:sz w:val="24"/>
                <w:szCs w:val="20"/>
                <w:highlight w:val="none"/>
                <w:u w:val="single"/>
                <w:lang w:val="en-US" w:eastAsia="zh-CN"/>
              </w:rPr>
              <w:t>19</w:t>
            </w:r>
            <w:r>
              <w:rPr>
                <w:rFonts w:hint="eastAsia" w:asciiTheme="minorEastAsia" w:hAnsiTheme="minorEastAsia" w:eastAsiaTheme="minorEastAsia"/>
                <w:color w:val="auto"/>
                <w:sz w:val="24"/>
                <w:szCs w:val="20"/>
                <w:highlight w:val="none"/>
              </w:rPr>
              <w:t>％×100</w:t>
            </w:r>
          </w:p>
        </w:tc>
      </w:tr>
    </w:tbl>
    <w:p w14:paraId="2270DC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E6216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6654E9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72D92AB2">
      <w:pPr>
        <w:spacing w:line="44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三、无效投标条款</w:t>
      </w:r>
    </w:p>
    <w:p w14:paraId="1047E7E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19846B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(1)未在开标截止时间前递交有效投标文件的，投标将被拒绝。</w:t>
      </w:r>
    </w:p>
    <w:p w14:paraId="39DE6E8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w:t>
      </w:r>
      <w:r>
        <w:rPr>
          <w:rFonts w:hint="eastAsia" w:asciiTheme="minorEastAsia" w:hAnsiTheme="minorEastAsia" w:eastAsiaTheme="minorEastAsia"/>
          <w:color w:val="auto"/>
          <w:sz w:val="24"/>
          <w:highlight w:val="none"/>
          <w:lang w:val="en-US" w:eastAsia="zh-CN"/>
        </w:rPr>
        <w:t>及法律法规</w:t>
      </w:r>
      <w:r>
        <w:rPr>
          <w:rFonts w:hint="eastAsia"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lang w:val="en-US" w:eastAsia="zh-CN"/>
        </w:rPr>
        <w:t>其他情况</w:t>
      </w:r>
      <w:r>
        <w:rPr>
          <w:rFonts w:hint="eastAsia" w:asciiTheme="minorEastAsia" w:hAnsiTheme="minorEastAsia" w:eastAsiaTheme="minorEastAsia"/>
          <w:color w:val="auto"/>
          <w:sz w:val="24"/>
          <w:highlight w:val="none"/>
        </w:rPr>
        <w:t>。</w:t>
      </w:r>
    </w:p>
    <w:p w14:paraId="25429E1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07B78D8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27BE591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4C6C1B99">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(3)要求供应商以联合体形式参加采购活动，投标人非联合体或者联合协议中中小企业合同金额未达到应当达到的比例；</w:t>
      </w:r>
    </w:p>
    <w:p w14:paraId="6A6B936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(4)要求获得采购合同的供应商向中小企业分包，投标人未提供分包意向协议或者分包意向协议中中小企业合同金额未达到应当达到的比例；</w:t>
      </w:r>
    </w:p>
    <w:p w14:paraId="3C03841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(5)联合体投标未提交联合体协议的；</w:t>
      </w:r>
    </w:p>
    <w:p w14:paraId="6DEED80B">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(6)责令停产停业的；</w:t>
      </w:r>
    </w:p>
    <w:p w14:paraId="7EE3039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(7)暂停或者取消参与政府采购项目资格的；</w:t>
      </w:r>
    </w:p>
    <w:p w14:paraId="660DEA1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(8)投标人单位负责人为同一人或者存在（直接）控股、管理关系的不同单位的；</w:t>
      </w:r>
    </w:p>
    <w:p w14:paraId="3EDB12C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(9)投标人投标人联系人或联系电话相同的，由评标委员会否决其投标，并报告监管部门作不良行为处理和进一步调查；</w:t>
      </w:r>
    </w:p>
    <w:p w14:paraId="756D527B">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(10)投标人基本资格条件和特定资格条件中有一项及以上不符合要求的；</w:t>
      </w:r>
    </w:p>
    <w:p w14:paraId="7E023D3A">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(11)投标人单方面出现其他投标人材料的；</w:t>
      </w:r>
    </w:p>
    <w:p w14:paraId="36F3E6B6">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(12)招标公告未写明允许采购进口产品，投标人所投产品为进口产品的；</w:t>
      </w:r>
    </w:p>
    <w:p w14:paraId="45E6ABB5">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(13)招标文件规定的其它无效投标情形。</w:t>
      </w:r>
    </w:p>
    <w:p w14:paraId="713515A0">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1C8B908A">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(1)投标文件签字、盖章不全，经评标委员会一致认定对开评标内容有实质性影响的；</w:t>
      </w:r>
    </w:p>
    <w:p w14:paraId="3134C9E3">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(2)未按规定的格式填写导致实质性内容不全以及实质上不响应，或者关键字迹模糊、无法辨认的；</w:t>
      </w:r>
    </w:p>
    <w:p w14:paraId="5131D571">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7FD630E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5720155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04DFA69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1307A01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(7)其它情形，经评标委员会委提出按无效投标处理的；</w:t>
      </w:r>
    </w:p>
    <w:p w14:paraId="2696528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FE8BE49">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4ED8EE0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733077F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2576BDA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5757A7BB">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58CAA3D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0FD9446">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4B2E41B5">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(6)其它情形，经评标委员会委提出按无效投标处理的；</w:t>
      </w:r>
    </w:p>
    <w:p w14:paraId="07A4B2D1">
      <w:pPr>
        <w:spacing w:line="360" w:lineRule="auto"/>
        <w:ind w:firstLine="435"/>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2D2DB506">
      <w:pPr>
        <w:spacing w:line="360" w:lineRule="auto"/>
        <w:ind w:firstLine="435"/>
        <w:jc w:val="center"/>
        <w:rPr>
          <w:rFonts w:hint="eastAsia" w:asciiTheme="minorEastAsia" w:hAnsiTheme="minorEastAsia" w:eastAsiaTheme="minorEastAsia"/>
          <w:b/>
          <w:color w:val="auto"/>
          <w:sz w:val="28"/>
          <w:highlight w:val="none"/>
          <w:lang w:eastAsia="zh-CN"/>
        </w:rPr>
      </w:pPr>
      <w:r>
        <w:rPr>
          <w:rFonts w:hint="eastAsia" w:ascii="宋体" w:hAnsi="宋体" w:eastAsia="宋体"/>
          <w:color w:val="auto"/>
          <w:sz w:val="24"/>
          <w:szCs w:val="24"/>
          <w:highlight w:val="none"/>
          <w:lang w:bidi="ar"/>
        </w:rPr>
        <w:br w:type="page"/>
      </w:r>
      <w:bookmarkStart w:id="43"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3"/>
    </w:p>
    <w:p w14:paraId="3B0F1EC7">
      <w:pPr>
        <w:spacing w:line="480" w:lineRule="auto"/>
        <w:jc w:val="center"/>
        <w:outlineLvl w:val="9"/>
        <w:rPr>
          <w:rFonts w:cs="Times New Roman" w:asciiTheme="minorEastAsia" w:hAnsiTheme="minorEastAsia" w:eastAsiaTheme="minorEastAsia"/>
          <w:b/>
          <w:color w:val="auto"/>
          <w:sz w:val="28"/>
          <w:szCs w:val="28"/>
          <w:highlight w:val="none"/>
        </w:rPr>
      </w:pPr>
      <w:bookmarkStart w:id="44" w:name="_Toc331685784"/>
    </w:p>
    <w:p w14:paraId="5D626C57">
      <w:pPr>
        <w:spacing w:line="480" w:lineRule="auto"/>
        <w:jc w:val="center"/>
        <w:outlineLvl w:val="9"/>
        <w:rPr>
          <w:rFonts w:cs="Times New Roman" w:asciiTheme="minorEastAsia" w:hAnsiTheme="minorEastAsia" w:eastAsiaTheme="minorEastAsia"/>
          <w:b/>
          <w:color w:val="auto"/>
          <w:sz w:val="28"/>
          <w:szCs w:val="28"/>
          <w:highlight w:val="none"/>
        </w:rPr>
      </w:pPr>
    </w:p>
    <w:p w14:paraId="534B0F47">
      <w:pPr>
        <w:pStyle w:val="9"/>
        <w:rPr>
          <w:color w:val="auto"/>
          <w:highlight w:val="none"/>
        </w:rPr>
      </w:pPr>
    </w:p>
    <w:p w14:paraId="5ED53AD4">
      <w:pPr>
        <w:spacing w:line="480" w:lineRule="auto"/>
        <w:jc w:val="center"/>
        <w:outlineLvl w:val="1"/>
        <w:rPr>
          <w:rFonts w:cs="Times New Roman" w:asciiTheme="minorEastAsia" w:hAnsiTheme="minorEastAsia" w:eastAsiaTheme="minorEastAsia"/>
          <w:b/>
          <w:color w:val="auto"/>
          <w:sz w:val="28"/>
          <w:szCs w:val="28"/>
          <w:highlight w:val="none"/>
        </w:rPr>
      </w:pPr>
      <w:bookmarkStart w:id="45" w:name="_Toc3714"/>
      <w:r>
        <w:rPr>
          <w:rFonts w:hint="eastAsia" w:cs="Times New Roman" w:asciiTheme="minorEastAsia" w:hAnsiTheme="minorEastAsia" w:eastAsiaTheme="minorEastAsia"/>
          <w:b/>
          <w:color w:val="auto"/>
          <w:sz w:val="28"/>
          <w:szCs w:val="28"/>
          <w:highlight w:val="none"/>
          <w:lang w:val="en-US" w:eastAsia="zh-CN"/>
        </w:rPr>
        <w:t xml:space="preserve">  </w:t>
      </w:r>
      <w:r>
        <w:rPr>
          <w:rFonts w:cs="Times New Roman" w:asciiTheme="minorEastAsia" w:hAnsiTheme="minorEastAsia" w:eastAsiaTheme="minorEastAsia"/>
          <w:b/>
          <w:color w:val="auto"/>
          <w:sz w:val="28"/>
          <w:szCs w:val="28"/>
          <w:highlight w:val="none"/>
        </w:rPr>
        <w:t>政府采购合同</w:t>
      </w:r>
      <w:r>
        <w:rPr>
          <w:rFonts w:hint="eastAsia" w:cs="Times New Roman" w:asciiTheme="minorEastAsia" w:hAnsiTheme="minorEastAsia" w:eastAsiaTheme="minorEastAsia"/>
          <w:b/>
          <w:color w:val="auto"/>
          <w:sz w:val="28"/>
          <w:szCs w:val="28"/>
          <w:highlight w:val="none"/>
        </w:rPr>
        <w:t>参考范本</w:t>
      </w:r>
      <w:bookmarkEnd w:id="45"/>
    </w:p>
    <w:p w14:paraId="4434D862">
      <w:pPr>
        <w:spacing w:line="480" w:lineRule="auto"/>
        <w:jc w:val="center"/>
        <w:rPr>
          <w:rFonts w:cs="Times New Roman" w:asciiTheme="minorEastAsia" w:hAnsiTheme="minorEastAsia" w:eastAsiaTheme="minorEastAsia"/>
          <w:b/>
          <w:color w:val="auto"/>
          <w:sz w:val="24"/>
          <w:szCs w:val="24"/>
          <w:highlight w:val="none"/>
        </w:rPr>
      </w:pPr>
    </w:p>
    <w:p w14:paraId="5E55BBA1">
      <w:pPr>
        <w:spacing w:line="480" w:lineRule="auto"/>
        <w:jc w:val="center"/>
        <w:rPr>
          <w:rFonts w:cs="Times New Roman" w:asciiTheme="minorEastAsia" w:hAnsiTheme="minorEastAsia" w:eastAsiaTheme="minorEastAsia"/>
          <w:b/>
          <w:color w:val="auto"/>
          <w:sz w:val="24"/>
          <w:szCs w:val="24"/>
          <w:highlight w:val="none"/>
        </w:rPr>
      </w:pPr>
    </w:p>
    <w:p w14:paraId="09A8EC78">
      <w:pPr>
        <w:spacing w:line="480" w:lineRule="auto"/>
        <w:jc w:val="center"/>
        <w:rPr>
          <w:rFonts w:cs="Times New Roman" w:asciiTheme="minorEastAsia" w:hAnsiTheme="minorEastAsia" w:eastAsiaTheme="minorEastAsia"/>
          <w:b/>
          <w:color w:val="auto"/>
          <w:sz w:val="24"/>
          <w:szCs w:val="24"/>
          <w:highlight w:val="none"/>
        </w:rPr>
      </w:pPr>
    </w:p>
    <w:p w14:paraId="040DA5D2">
      <w:pPr>
        <w:spacing w:line="360" w:lineRule="auto"/>
        <w:jc w:val="center"/>
        <w:outlineLvl w:val="1"/>
        <w:rPr>
          <w:rFonts w:asciiTheme="minorEastAsia" w:hAnsiTheme="minorEastAsia" w:eastAsiaTheme="minorEastAsia"/>
          <w:b/>
          <w:color w:val="auto"/>
          <w:sz w:val="24"/>
          <w:highlight w:val="none"/>
        </w:rPr>
      </w:pPr>
      <w:bookmarkStart w:id="46" w:name="_Toc2449"/>
      <w:r>
        <w:rPr>
          <w:rFonts w:hint="eastAsia" w:asciiTheme="minorEastAsia" w:hAnsiTheme="minorEastAsia" w:eastAsiaTheme="minorEastAsia"/>
          <w:b/>
          <w:color w:val="auto"/>
          <w:sz w:val="24"/>
          <w:highlight w:val="none"/>
        </w:rPr>
        <w:t>第一部分 合同书</w:t>
      </w:r>
      <w:bookmarkEnd w:id="46"/>
    </w:p>
    <w:p w14:paraId="4DE86CC9">
      <w:pPr>
        <w:spacing w:line="480" w:lineRule="auto"/>
        <w:jc w:val="center"/>
        <w:rPr>
          <w:rFonts w:cs="Times New Roman" w:asciiTheme="minorEastAsia" w:hAnsiTheme="minorEastAsia" w:eastAsiaTheme="minorEastAsia"/>
          <w:b/>
          <w:color w:val="auto"/>
          <w:sz w:val="24"/>
          <w:szCs w:val="24"/>
          <w:highlight w:val="none"/>
        </w:rPr>
      </w:pPr>
    </w:p>
    <w:p w14:paraId="758E7DB0">
      <w:pPr>
        <w:spacing w:line="480" w:lineRule="auto"/>
        <w:jc w:val="center"/>
        <w:rPr>
          <w:rFonts w:cs="Times New Roman" w:asciiTheme="minorEastAsia" w:hAnsiTheme="minorEastAsia" w:eastAsiaTheme="minorEastAsia"/>
          <w:b/>
          <w:color w:val="auto"/>
          <w:sz w:val="24"/>
          <w:szCs w:val="24"/>
          <w:highlight w:val="none"/>
        </w:rPr>
      </w:pPr>
    </w:p>
    <w:p w14:paraId="4FF82B1C">
      <w:pPr>
        <w:pStyle w:val="9"/>
        <w:rPr>
          <w:color w:val="auto"/>
          <w:highlight w:val="none"/>
        </w:rPr>
      </w:pPr>
    </w:p>
    <w:p w14:paraId="26BE905D">
      <w:pPr>
        <w:pStyle w:val="9"/>
        <w:rPr>
          <w:color w:val="auto"/>
          <w:highlight w:val="none"/>
        </w:rPr>
      </w:pPr>
    </w:p>
    <w:p w14:paraId="27C08BCF">
      <w:pP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项目名称：</w:t>
      </w:r>
      <w:r>
        <w:rPr>
          <w:rFonts w:hint="eastAsia" w:cs="Times New Roman" w:asciiTheme="minorEastAsia" w:hAnsiTheme="minorEastAsia" w:eastAsiaTheme="minorEastAsia"/>
          <w:color w:val="auto"/>
          <w:sz w:val="24"/>
          <w:szCs w:val="24"/>
          <w:highlight w:val="none"/>
          <w:u w:val="single"/>
        </w:rPr>
        <w:t xml:space="preserve">        </w:t>
      </w:r>
    </w:p>
    <w:p w14:paraId="47C3893F">
      <w:pP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甲方（采购人）：</w:t>
      </w:r>
      <w:r>
        <w:rPr>
          <w:rFonts w:hint="eastAsia" w:cs="Times New Roman" w:asciiTheme="minorEastAsia" w:hAnsiTheme="minorEastAsia" w:eastAsiaTheme="minorEastAsia"/>
          <w:color w:val="auto"/>
          <w:sz w:val="24"/>
          <w:szCs w:val="24"/>
          <w:highlight w:val="none"/>
          <w:u w:val="single"/>
        </w:rPr>
        <w:t xml:space="preserve">                              </w:t>
      </w:r>
    </w:p>
    <w:p w14:paraId="05BB60F0">
      <w:pPr>
        <w:spacing w:before="120" w:line="480" w:lineRule="auto"/>
        <w:ind w:left="96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p>
    <w:p w14:paraId="5A4BCA84">
      <w:pPr>
        <w:spacing w:before="120" w:line="480" w:lineRule="auto"/>
        <w:ind w:firstLine="960" w:firstLineChars="400"/>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签订地：</w:t>
      </w:r>
      <w:r>
        <w:rPr>
          <w:rFonts w:hint="eastAsia" w:cs="Times New Roman" w:asciiTheme="minorEastAsia" w:hAnsiTheme="minorEastAsia" w:eastAsiaTheme="minorEastAsia"/>
          <w:color w:val="auto"/>
          <w:sz w:val="24"/>
          <w:szCs w:val="24"/>
          <w:highlight w:val="none"/>
          <w:u w:val="single"/>
        </w:rPr>
        <w:t xml:space="preserve">                                     </w:t>
      </w:r>
    </w:p>
    <w:p w14:paraId="6AF07714">
      <w:pPr>
        <w:spacing w:before="120" w:line="480" w:lineRule="auto"/>
        <w:ind w:firstLine="960" w:firstLineChars="400"/>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签订日期：</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年</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月</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日</w:t>
      </w:r>
    </w:p>
    <w:p w14:paraId="6E49B908">
      <w:pPr>
        <w:widowControl/>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34FEF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szCs w:val="24"/>
          <w:highlight w:val="none"/>
          <w:lang w:val="zh-CN"/>
        </w:rPr>
        <w:t>以下简称：甲方</w:t>
      </w:r>
      <w:r>
        <w:rPr>
          <w:rFonts w:hint="eastAsia" w:asciiTheme="minorEastAsia" w:hAnsiTheme="minorEastAsia" w:eastAsiaTheme="minorEastAsia"/>
          <w:color w:val="auto"/>
          <w:sz w:val="24"/>
          <w:highlight w:val="none"/>
        </w:rPr>
        <w:t>）通过组织的</w:t>
      </w:r>
      <w:r>
        <w:rPr>
          <w:rFonts w:hint="eastAsia" w:asciiTheme="minorEastAsia" w:hAnsiTheme="minorEastAsia" w:eastAsiaTheme="minorEastAsia"/>
          <w:color w:val="auto"/>
          <w:sz w:val="24"/>
          <w:highlight w:val="none"/>
          <w:u w:val="single"/>
        </w:rPr>
        <w:t>公开招标</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u w:val="single"/>
        </w:rPr>
        <w:t>评标委员会</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szCs w:val="24"/>
          <w:highlight w:val="none"/>
          <w:lang w:val="zh-CN"/>
        </w:rPr>
        <w:t>以下简称：乙方</w:t>
      </w:r>
      <w:r>
        <w:rPr>
          <w:rFonts w:hint="eastAsia" w:asciiTheme="minorEastAsia" w:hAnsiTheme="minorEastAsia" w:eastAsiaTheme="minorEastAsia"/>
          <w:color w:val="auto"/>
          <w:sz w:val="24"/>
          <w:highlight w:val="none"/>
        </w:rPr>
        <w:t>）为本项目中标人，现</w:t>
      </w:r>
      <w:r>
        <w:rPr>
          <w:rFonts w:hint="eastAsia" w:cs="Times New Roman" w:asciiTheme="minorEastAsia" w:hAnsiTheme="minorEastAsia" w:eastAsiaTheme="minorEastAsia"/>
          <w:color w:val="auto"/>
          <w:sz w:val="24"/>
          <w:szCs w:val="24"/>
          <w:highlight w:val="none"/>
        </w:rPr>
        <w:t>按照采购文件确定的事项签订本合同。</w:t>
      </w:r>
    </w:p>
    <w:p w14:paraId="6E934683">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7A528434">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47" w:name="_Toc2232"/>
      <w:bookmarkStart w:id="48" w:name="_Toc3029"/>
      <w:bookmarkStart w:id="49" w:name="_Toc24059"/>
      <w:r>
        <w:rPr>
          <w:rFonts w:hint="eastAsia" w:cs="Times New Roman" w:asciiTheme="minorEastAsia" w:hAnsiTheme="minorEastAsia" w:eastAsiaTheme="minorEastAsia"/>
          <w:b/>
          <w:bCs/>
          <w:color w:val="auto"/>
          <w:sz w:val="24"/>
          <w:szCs w:val="24"/>
          <w:highlight w:val="none"/>
          <w:lang w:val="zh-CN"/>
        </w:rPr>
        <w:t>1.1</w:t>
      </w:r>
      <w:r>
        <w:rPr>
          <w:rFonts w:cs="Times New Roman" w:asciiTheme="minorEastAsia" w:hAnsiTheme="minorEastAsia" w:eastAsiaTheme="minorEastAsia"/>
          <w:b/>
          <w:bCs/>
          <w:color w:val="auto"/>
          <w:sz w:val="24"/>
          <w:szCs w:val="24"/>
          <w:highlight w:val="none"/>
          <w:lang w:val="zh-CN"/>
        </w:rPr>
        <w:t xml:space="preserve"> </w:t>
      </w:r>
      <w:r>
        <w:rPr>
          <w:rFonts w:hint="eastAsia" w:cs="Times New Roman" w:asciiTheme="minorEastAsia" w:hAnsiTheme="minorEastAsia" w:eastAsiaTheme="minorEastAsia"/>
          <w:b/>
          <w:bCs/>
          <w:color w:val="auto"/>
          <w:sz w:val="24"/>
          <w:szCs w:val="24"/>
          <w:highlight w:val="none"/>
          <w:lang w:val="zh-CN"/>
        </w:rPr>
        <w:t>合同组成部分</w:t>
      </w:r>
      <w:bookmarkEnd w:id="47"/>
      <w:bookmarkEnd w:id="48"/>
      <w:bookmarkEnd w:id="49"/>
    </w:p>
    <w:p w14:paraId="31B726C3">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4A0C466">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1.1.1本合同及其补充合同、变更协议；</w:t>
      </w:r>
    </w:p>
    <w:p w14:paraId="5D8485DD">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1.1.2中标通知书；</w:t>
      </w:r>
    </w:p>
    <w:p w14:paraId="37A68E39">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1.1.3投标文件（含澄清或者说明文件）；</w:t>
      </w:r>
    </w:p>
    <w:p w14:paraId="415BD7D1">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1.1.4招标文件（含澄清或者修改文件）；</w:t>
      </w:r>
    </w:p>
    <w:p w14:paraId="518D6971">
      <w:pPr>
        <w:spacing w:line="360" w:lineRule="auto"/>
        <w:ind w:firstLine="435"/>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1.1.5其他相关采购文件。</w:t>
      </w:r>
    </w:p>
    <w:p w14:paraId="25C3BC0D">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50" w:name="_Toc2918"/>
      <w:bookmarkStart w:id="51" w:name="_Toc6311"/>
      <w:bookmarkStart w:id="52" w:name="_Toc18585"/>
      <w:bookmarkStart w:id="53" w:name="_Toc6773"/>
      <w:bookmarkStart w:id="54" w:name="_Toc22185"/>
      <w:r>
        <w:rPr>
          <w:rFonts w:hint="eastAsia" w:cs="Times New Roman" w:asciiTheme="minorEastAsia" w:hAnsiTheme="minorEastAsia" w:eastAsiaTheme="minorEastAsia"/>
          <w:b/>
          <w:bCs/>
          <w:color w:val="auto"/>
          <w:sz w:val="24"/>
          <w:szCs w:val="24"/>
          <w:highlight w:val="none"/>
          <w:lang w:val="zh-CN"/>
        </w:rPr>
        <w:t xml:space="preserve">1.2 </w:t>
      </w:r>
      <w:bookmarkEnd w:id="50"/>
      <w:bookmarkEnd w:id="51"/>
      <w:bookmarkEnd w:id="52"/>
      <w:bookmarkEnd w:id="53"/>
      <w:bookmarkEnd w:id="54"/>
      <w:r>
        <w:rPr>
          <w:rFonts w:hint="eastAsia" w:cs="Times New Roman" w:asciiTheme="minorEastAsia" w:hAnsiTheme="minorEastAsia" w:eastAsiaTheme="minorEastAsia"/>
          <w:b/>
          <w:bCs/>
          <w:color w:val="auto"/>
          <w:sz w:val="24"/>
          <w:szCs w:val="24"/>
          <w:highlight w:val="none"/>
          <w:lang w:val="zh-CN"/>
        </w:rPr>
        <w:t>服务</w:t>
      </w:r>
    </w:p>
    <w:p w14:paraId="4FAB7712">
      <w:pPr>
        <w:spacing w:line="360" w:lineRule="auto"/>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1.2.1服务</w:t>
      </w:r>
      <w:r>
        <w:rPr>
          <w:rFonts w:cs="Times New Roman" w:asciiTheme="minorEastAsia" w:hAnsiTheme="minorEastAsia" w:eastAsiaTheme="minorEastAsia"/>
          <w:color w:val="auto"/>
          <w:sz w:val="24"/>
          <w:szCs w:val="24"/>
          <w:highlight w:val="none"/>
        </w:rPr>
        <w:t>名称：</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622CC88A">
      <w:pPr>
        <w:spacing w:line="360" w:lineRule="auto"/>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1.2.2服务内容</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2E63BCBD">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1.2.3服务质量：</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09DD3E69">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55" w:name="_Toc23292"/>
      <w:bookmarkStart w:id="56" w:name="_Toc21551"/>
      <w:bookmarkStart w:id="57" w:name="_Toc21631"/>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3 </w:t>
      </w:r>
      <w:r>
        <w:rPr>
          <w:rFonts w:hint="eastAsia" w:cs="Times New Roman" w:asciiTheme="minorEastAsia" w:hAnsiTheme="minorEastAsia" w:eastAsiaTheme="minorEastAsia"/>
          <w:b/>
          <w:bCs/>
          <w:color w:val="auto"/>
          <w:sz w:val="24"/>
          <w:szCs w:val="24"/>
          <w:highlight w:val="none"/>
          <w:lang w:val="zh-CN"/>
        </w:rPr>
        <w:t>价款</w:t>
      </w:r>
      <w:bookmarkEnd w:id="55"/>
      <w:bookmarkEnd w:id="56"/>
      <w:bookmarkEnd w:id="57"/>
    </w:p>
    <w:p w14:paraId="07C398F0">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本合同总价为</w:t>
      </w:r>
      <w:r>
        <w:rPr>
          <w:rFonts w:hint="eastAsia"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元</w:t>
      </w:r>
      <w:r>
        <w:rPr>
          <w:rFonts w:hint="eastAsia" w:cs="Times New Roman" w:asciiTheme="minorEastAsia" w:hAnsiTheme="minorEastAsia" w:eastAsiaTheme="minorEastAsia"/>
          <w:color w:val="auto"/>
          <w:sz w:val="24"/>
          <w:szCs w:val="24"/>
          <w:highlight w:val="none"/>
        </w:rPr>
        <w:t>（大写：人民币</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元）</w:t>
      </w:r>
      <w:r>
        <w:rPr>
          <w:rFonts w:cs="Times New Roman" w:asciiTheme="minorEastAsia" w:hAnsiTheme="minorEastAsia" w:eastAsiaTheme="minorEastAsia"/>
          <w:color w:val="auto"/>
          <w:sz w:val="24"/>
          <w:szCs w:val="24"/>
          <w:highlight w:val="none"/>
        </w:rPr>
        <w:t>。</w:t>
      </w:r>
    </w:p>
    <w:p w14:paraId="3C764FAE">
      <w:pPr>
        <w:spacing w:line="360" w:lineRule="auto"/>
        <w:ind w:firstLine="435"/>
        <w:rPr>
          <w:rFonts w:cs="Times New Roman" w:asciiTheme="minorEastAsia" w:hAnsiTheme="minorEastAsia" w:eastAsiaTheme="minorEastAsia"/>
          <w:color w:val="auto"/>
          <w:sz w:val="24"/>
          <w:szCs w:val="24"/>
          <w:highlight w:val="none"/>
          <w:u w:val="single"/>
        </w:rPr>
      </w:pPr>
      <w:r>
        <w:rPr>
          <w:rFonts w:cs="Times New Roman" w:asciiTheme="minorEastAsia" w:hAnsiTheme="minorEastAsia" w:eastAsiaTheme="minorEastAsia"/>
          <w:color w:val="auto"/>
          <w:sz w:val="24"/>
          <w:szCs w:val="24"/>
          <w:highlight w:val="none"/>
        </w:rPr>
        <w:t>分项价格：</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06B0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5CA39900">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zh-CN"/>
              </w:rPr>
            </w:pPr>
            <w:r>
              <w:rPr>
                <w:rFonts w:hint="default" w:cs="Times New Roman" w:asciiTheme="minorEastAsia" w:hAnsiTheme="minorEastAsia" w:eastAsiaTheme="minorEastAsia"/>
                <w:color w:val="auto"/>
                <w:sz w:val="24"/>
                <w:szCs w:val="24"/>
                <w:highlight w:val="none"/>
                <w:lang w:val="zh-CN"/>
              </w:rPr>
              <w:t>序号</w:t>
            </w:r>
          </w:p>
        </w:tc>
        <w:tc>
          <w:tcPr>
            <w:tcW w:w="4316" w:type="dxa"/>
            <w:vAlign w:val="center"/>
          </w:tcPr>
          <w:p w14:paraId="5CDDE483">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分项名称</w:t>
            </w:r>
          </w:p>
        </w:tc>
        <w:tc>
          <w:tcPr>
            <w:tcW w:w="3237" w:type="dxa"/>
            <w:gridSpan w:val="2"/>
            <w:vAlign w:val="center"/>
          </w:tcPr>
          <w:p w14:paraId="1C7D2516">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rPr>
            </w:pPr>
            <w:r>
              <w:rPr>
                <w:rFonts w:hint="default" w:cs="Times New Roman" w:asciiTheme="minorEastAsia" w:hAnsiTheme="minorEastAsia" w:eastAsiaTheme="minorEastAsia"/>
                <w:color w:val="auto"/>
                <w:sz w:val="24"/>
                <w:szCs w:val="24"/>
                <w:highlight w:val="none"/>
              </w:rPr>
              <w:t>分项价格</w:t>
            </w:r>
          </w:p>
        </w:tc>
      </w:tr>
      <w:tr w14:paraId="1C3B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C084296">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1</w:t>
            </w:r>
          </w:p>
        </w:tc>
        <w:tc>
          <w:tcPr>
            <w:tcW w:w="4316" w:type="dxa"/>
            <w:vAlign w:val="center"/>
          </w:tcPr>
          <w:p w14:paraId="7EB05257">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c>
          <w:tcPr>
            <w:tcW w:w="3237" w:type="dxa"/>
            <w:gridSpan w:val="2"/>
            <w:vAlign w:val="center"/>
          </w:tcPr>
          <w:p w14:paraId="4542DC66">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r>
      <w:tr w14:paraId="1408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6B511D7">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2</w:t>
            </w:r>
          </w:p>
        </w:tc>
        <w:tc>
          <w:tcPr>
            <w:tcW w:w="4316" w:type="dxa"/>
            <w:vAlign w:val="center"/>
          </w:tcPr>
          <w:p w14:paraId="3C243571">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c>
          <w:tcPr>
            <w:tcW w:w="3237" w:type="dxa"/>
            <w:gridSpan w:val="2"/>
            <w:vAlign w:val="center"/>
          </w:tcPr>
          <w:p w14:paraId="0941A78A">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r>
      <w:tr w14:paraId="3B7C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6672C0B">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zh-CN"/>
              </w:rPr>
            </w:pPr>
            <w:r>
              <w:rPr>
                <w:rFonts w:hint="default" w:cs="Times New Roman" w:asciiTheme="minorEastAsia" w:hAnsiTheme="minorEastAsia" w:eastAsiaTheme="minorEastAsia"/>
                <w:color w:val="auto"/>
                <w:sz w:val="24"/>
                <w:szCs w:val="24"/>
                <w:highlight w:val="none"/>
                <w:lang w:val="zh-CN"/>
              </w:rPr>
              <w:t>3</w:t>
            </w:r>
          </w:p>
        </w:tc>
        <w:tc>
          <w:tcPr>
            <w:tcW w:w="4316" w:type="dxa"/>
            <w:vAlign w:val="center"/>
          </w:tcPr>
          <w:p w14:paraId="4CFF0FC7">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c>
          <w:tcPr>
            <w:tcW w:w="3237" w:type="dxa"/>
            <w:gridSpan w:val="2"/>
            <w:vAlign w:val="center"/>
          </w:tcPr>
          <w:p w14:paraId="1C6C4B41">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r>
      <w:tr w14:paraId="542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B48BCC7">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w:t>
            </w:r>
          </w:p>
        </w:tc>
        <w:tc>
          <w:tcPr>
            <w:tcW w:w="4316" w:type="dxa"/>
            <w:vAlign w:val="center"/>
          </w:tcPr>
          <w:p w14:paraId="1C49AAD2">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c>
          <w:tcPr>
            <w:tcW w:w="3237" w:type="dxa"/>
            <w:gridSpan w:val="2"/>
            <w:vAlign w:val="center"/>
          </w:tcPr>
          <w:p w14:paraId="6C874EFA">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r>
      <w:tr w14:paraId="18C7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678A60B">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总价</w:t>
            </w:r>
          </w:p>
        </w:tc>
        <w:tc>
          <w:tcPr>
            <w:tcW w:w="3237" w:type="dxa"/>
            <w:gridSpan w:val="2"/>
            <w:vAlign w:val="center"/>
          </w:tcPr>
          <w:p w14:paraId="3BBE6D79">
            <w:pPr>
              <w:keepNext w:val="0"/>
              <w:keepLines w:val="0"/>
              <w:suppressLineNumbers w:val="0"/>
              <w:spacing w:before="0" w:beforeAutospacing="0" w:after="0" w:afterAutospacing="0"/>
              <w:ind w:left="0" w:right="0" w:firstLine="200"/>
              <w:jc w:val="center"/>
              <w:rPr>
                <w:rFonts w:hint="default" w:cs="Times New Roman" w:asciiTheme="minorEastAsia" w:hAnsiTheme="minorEastAsia" w:eastAsiaTheme="minorEastAsia"/>
                <w:color w:val="auto"/>
                <w:sz w:val="24"/>
                <w:szCs w:val="24"/>
                <w:highlight w:val="none"/>
              </w:rPr>
            </w:pPr>
          </w:p>
        </w:tc>
      </w:tr>
    </w:tbl>
    <w:p w14:paraId="4F186354">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58" w:name="_Toc10340"/>
      <w:bookmarkStart w:id="59" w:name="_Toc1814"/>
      <w:bookmarkStart w:id="60" w:name="_Toc22618"/>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4 付款方式和发票开具方式</w:t>
      </w:r>
      <w:bookmarkEnd w:id="58"/>
      <w:bookmarkEnd w:id="59"/>
      <w:bookmarkEnd w:id="60"/>
    </w:p>
    <w:p w14:paraId="65708694">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1.4.1</w:t>
      </w:r>
      <w:r>
        <w:rPr>
          <w:rFonts w:cs="Times New Roman" w:asciiTheme="minorEastAsia" w:hAnsiTheme="minorEastAsia" w:eastAsiaTheme="minorEastAsia"/>
          <w:color w:val="auto"/>
          <w:sz w:val="24"/>
          <w:szCs w:val="24"/>
          <w:highlight w:val="none"/>
        </w:rPr>
        <w:t>付款方式：</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3ED58EAF">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1.4.2发票开具方式：</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16F144CB">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61" w:name="_Toc2846"/>
      <w:bookmarkStart w:id="62" w:name="_Toc19304"/>
      <w:bookmarkStart w:id="63" w:name="_Toc32071"/>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 xml:space="preserve">5 </w:t>
      </w:r>
      <w:r>
        <w:rPr>
          <w:rFonts w:hint="eastAsia" w:cs="Times New Roman" w:asciiTheme="minorEastAsia" w:hAnsiTheme="minorEastAsia" w:eastAsiaTheme="minorEastAsia"/>
          <w:b/>
          <w:bCs/>
          <w:color w:val="auto"/>
          <w:sz w:val="24"/>
          <w:szCs w:val="24"/>
          <w:highlight w:val="none"/>
          <w:lang w:val="zh-CN"/>
        </w:rPr>
        <w:t>服务</w:t>
      </w:r>
      <w:r>
        <w:rPr>
          <w:rFonts w:cs="Times New Roman" w:asciiTheme="minorEastAsia" w:hAnsiTheme="minorEastAsia" w:eastAsiaTheme="minorEastAsia"/>
          <w:b/>
          <w:bCs/>
          <w:color w:val="auto"/>
          <w:sz w:val="24"/>
          <w:szCs w:val="24"/>
          <w:highlight w:val="none"/>
          <w:lang w:val="zh-CN"/>
        </w:rPr>
        <w:t>期限</w:t>
      </w:r>
      <w:r>
        <w:rPr>
          <w:rFonts w:hint="eastAsia" w:cs="Times New Roman" w:asciiTheme="minorEastAsia" w:hAnsiTheme="minorEastAsia" w:eastAsiaTheme="minorEastAsia"/>
          <w:b/>
          <w:bCs/>
          <w:color w:val="auto"/>
          <w:sz w:val="24"/>
          <w:szCs w:val="24"/>
          <w:highlight w:val="none"/>
          <w:lang w:val="zh-CN"/>
        </w:rPr>
        <w:t>、地点和方式</w:t>
      </w:r>
      <w:bookmarkEnd w:id="61"/>
      <w:bookmarkEnd w:id="62"/>
      <w:bookmarkEnd w:id="63"/>
    </w:p>
    <w:p w14:paraId="59D719C6">
      <w:pPr>
        <w:spacing w:line="360" w:lineRule="auto"/>
        <w:ind w:firstLine="435"/>
        <w:rPr>
          <w:rFonts w:cs="Times New Roman" w:asciiTheme="minorEastAsia" w:hAnsiTheme="minorEastAsia" w:eastAsiaTheme="minorEastAsia"/>
          <w:color w:val="auto"/>
          <w:sz w:val="24"/>
          <w:szCs w:val="24"/>
          <w:highlight w:val="none"/>
          <w:u w:val="single"/>
        </w:rPr>
      </w:pPr>
      <w:r>
        <w:rPr>
          <w:rFonts w:hint="eastAsia" w:cs="Times New Roman" w:asciiTheme="minorEastAsia" w:hAnsiTheme="minorEastAsia" w:eastAsiaTheme="minorEastAsia"/>
          <w:color w:val="auto"/>
          <w:sz w:val="24"/>
          <w:szCs w:val="24"/>
          <w:highlight w:val="none"/>
        </w:rPr>
        <w:t>1.5.1服务期限</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20BD722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1.5.2服务地点</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63FCE23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1.5.3服务方式：</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w:t>
      </w:r>
    </w:p>
    <w:p w14:paraId="3118AD48">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64" w:name="_Toc19554"/>
      <w:bookmarkStart w:id="65" w:name="_Toc27250"/>
      <w:bookmarkStart w:id="66" w:name="_Toc21423"/>
      <w:r>
        <w:rPr>
          <w:rFonts w:hint="eastAsia" w:cs="Times New Roman" w:asciiTheme="minorEastAsia" w:hAnsiTheme="minorEastAsia" w:eastAsiaTheme="minorEastAsia"/>
          <w:b/>
          <w:bCs/>
          <w:color w:val="auto"/>
          <w:sz w:val="24"/>
          <w:szCs w:val="24"/>
          <w:highlight w:val="none"/>
          <w:lang w:val="zh-CN"/>
        </w:rPr>
        <w:t>1.6 违约责任</w:t>
      </w:r>
      <w:bookmarkEnd w:id="64"/>
      <w:bookmarkEnd w:id="65"/>
      <w:bookmarkEnd w:id="66"/>
    </w:p>
    <w:p w14:paraId="294B1F1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1.6.1</w:t>
      </w:r>
      <w:r>
        <w:rPr>
          <w:rFonts w:cs="Times New Roman" w:asciiTheme="minorEastAsia" w:hAnsiTheme="minorEastAsia" w:eastAsiaTheme="minorEastAsia"/>
          <w:color w:val="auto"/>
          <w:sz w:val="24"/>
          <w:szCs w:val="24"/>
          <w:highlight w:val="none"/>
        </w:rPr>
        <w:t>除不可抗力外，如果乙方没有按照本合同约定的期限</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地点和方式</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，那么甲方可要求乙方支付违约金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违约金按每迟延</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一日的应提供而未</w:t>
      </w:r>
      <w:r>
        <w:rPr>
          <w:rFonts w:hint="eastAsia" w:cs="Times New Roman" w:asciiTheme="minorEastAsia" w:hAnsiTheme="minorEastAsia" w:eastAsiaTheme="minorEastAsia"/>
          <w:color w:val="auto"/>
          <w:sz w:val="24"/>
          <w:szCs w:val="24"/>
          <w:highlight w:val="none"/>
        </w:rPr>
        <w:t>提供</w:t>
      </w:r>
      <w:r>
        <w:rPr>
          <w:rFonts w:cs="Times New Roman" w:asciiTheme="minorEastAsia" w:hAnsiTheme="minorEastAsia" w:eastAsiaTheme="minorEastAsia"/>
          <w:color w:val="auto"/>
          <w:sz w:val="24"/>
          <w:szCs w:val="24"/>
          <w:highlight w:val="none"/>
        </w:rPr>
        <w:t>服务价格的</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%计算</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最高限额为</w:t>
      </w:r>
      <w:r>
        <w:rPr>
          <w:rFonts w:hint="eastAsia" w:cs="Times New Roman" w:asciiTheme="minorEastAsia" w:hAnsiTheme="minorEastAsia" w:eastAsiaTheme="minorEastAsia"/>
          <w:color w:val="auto"/>
          <w:sz w:val="24"/>
          <w:szCs w:val="24"/>
          <w:highlight w:val="none"/>
        </w:rPr>
        <w:t>本</w:t>
      </w:r>
      <w:r>
        <w:rPr>
          <w:rFonts w:cs="Times New Roman" w:asciiTheme="minorEastAsia" w:hAnsiTheme="minorEastAsia" w:eastAsiaTheme="minorEastAsia"/>
          <w:color w:val="auto"/>
          <w:sz w:val="24"/>
          <w:szCs w:val="24"/>
          <w:highlight w:val="none"/>
        </w:rPr>
        <w:t>合同总价的</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迟延</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的违约金计算数额达到前述最高限额之日起</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甲方有权在要求乙方支付违约金的同时</w:t>
      </w:r>
      <w:r>
        <w:rPr>
          <w:rFonts w:hint="eastAsia" w:cs="Times New Roman" w:asciiTheme="minorEastAsia" w:hAnsiTheme="minorEastAsia" w:eastAsiaTheme="minorEastAsia"/>
          <w:color w:val="auto"/>
          <w:sz w:val="24"/>
          <w:szCs w:val="24"/>
          <w:highlight w:val="none"/>
        </w:rPr>
        <w:t>，书面通知乙方</w:t>
      </w:r>
      <w:r>
        <w:rPr>
          <w:rFonts w:cs="Times New Roman" w:asciiTheme="minorEastAsia" w:hAnsiTheme="minorEastAsia" w:eastAsiaTheme="minorEastAsia"/>
          <w:color w:val="auto"/>
          <w:sz w:val="24"/>
          <w:szCs w:val="24"/>
          <w:highlight w:val="none"/>
        </w:rPr>
        <w:t>解除本合同</w:t>
      </w:r>
      <w:r>
        <w:rPr>
          <w:rFonts w:hint="eastAsia" w:cs="Times New Roman" w:asciiTheme="minorEastAsia" w:hAnsiTheme="minorEastAsia" w:eastAsiaTheme="minorEastAsia"/>
          <w:color w:val="auto"/>
          <w:sz w:val="24"/>
          <w:szCs w:val="24"/>
          <w:highlight w:val="none"/>
        </w:rPr>
        <w:t>；</w:t>
      </w:r>
    </w:p>
    <w:p w14:paraId="742F952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1.6.2</w:t>
      </w:r>
      <w:r>
        <w:rPr>
          <w:rFonts w:cs="Times New Roman" w:asciiTheme="minorEastAsia" w:hAnsiTheme="minorEastAsia" w:eastAsiaTheme="minorEastAsia"/>
          <w:color w:val="auto"/>
          <w:sz w:val="24"/>
          <w:szCs w:val="24"/>
          <w:highlight w:val="none"/>
        </w:rPr>
        <w:t>除不可抗力外，如果甲方没有按照本合同约定的付款方式付款，那么乙方可要求甲方支付违约金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违约金按每迟延</w:t>
      </w:r>
      <w:r>
        <w:rPr>
          <w:rFonts w:hint="eastAsia" w:cs="Times New Roman" w:asciiTheme="minorEastAsia" w:hAnsiTheme="minorEastAsia" w:eastAsiaTheme="minorEastAsia"/>
          <w:color w:val="auto"/>
          <w:sz w:val="24"/>
          <w:szCs w:val="24"/>
          <w:highlight w:val="none"/>
        </w:rPr>
        <w:t>付款</w:t>
      </w:r>
      <w:r>
        <w:rPr>
          <w:rFonts w:cs="Times New Roman" w:asciiTheme="minorEastAsia" w:hAnsiTheme="minorEastAsia" w:eastAsiaTheme="minorEastAsia"/>
          <w:color w:val="auto"/>
          <w:sz w:val="24"/>
          <w:szCs w:val="24"/>
          <w:highlight w:val="none"/>
        </w:rPr>
        <w:t>一日的应付而未付款的</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%计算</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最高限额为</w:t>
      </w:r>
      <w:r>
        <w:rPr>
          <w:rFonts w:hint="eastAsia" w:cs="Times New Roman" w:asciiTheme="minorEastAsia" w:hAnsiTheme="minorEastAsia" w:eastAsiaTheme="minorEastAsia"/>
          <w:color w:val="auto"/>
          <w:sz w:val="24"/>
          <w:szCs w:val="24"/>
          <w:highlight w:val="none"/>
        </w:rPr>
        <w:t>本</w:t>
      </w:r>
      <w:r>
        <w:rPr>
          <w:rFonts w:cs="Times New Roman" w:asciiTheme="minorEastAsia" w:hAnsiTheme="minorEastAsia" w:eastAsiaTheme="minorEastAsia"/>
          <w:color w:val="auto"/>
          <w:sz w:val="24"/>
          <w:szCs w:val="24"/>
          <w:highlight w:val="none"/>
        </w:rPr>
        <w:t>合同总价的</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迟延</w:t>
      </w:r>
      <w:r>
        <w:rPr>
          <w:rFonts w:hint="eastAsia" w:cs="Times New Roman" w:asciiTheme="minorEastAsia" w:hAnsiTheme="minorEastAsia" w:eastAsiaTheme="minorEastAsia"/>
          <w:color w:val="auto"/>
          <w:sz w:val="24"/>
          <w:szCs w:val="24"/>
          <w:highlight w:val="none"/>
        </w:rPr>
        <w:t>付款</w:t>
      </w:r>
      <w:r>
        <w:rPr>
          <w:rFonts w:cs="Times New Roman" w:asciiTheme="minorEastAsia" w:hAnsiTheme="minorEastAsia" w:eastAsiaTheme="minorEastAsia"/>
          <w:color w:val="auto"/>
          <w:sz w:val="24"/>
          <w:szCs w:val="24"/>
          <w:highlight w:val="none"/>
        </w:rPr>
        <w:t>的违约金计算数额达到前述最高限额之日起</w:t>
      </w:r>
      <w:r>
        <w:rPr>
          <w:rFonts w:hint="eastAsia" w:cs="Times New Roman" w:asciiTheme="minorEastAsia" w:hAnsiTheme="minorEastAsia" w:eastAsiaTheme="minorEastAsia"/>
          <w:color w:val="auto"/>
          <w:sz w:val="24"/>
          <w:szCs w:val="24"/>
          <w:highlight w:val="none"/>
        </w:rPr>
        <w:t>，乙</w:t>
      </w:r>
      <w:r>
        <w:rPr>
          <w:rFonts w:cs="Times New Roman" w:asciiTheme="minorEastAsia" w:hAnsiTheme="minorEastAsia" w:eastAsiaTheme="minorEastAsia"/>
          <w:color w:val="auto"/>
          <w:sz w:val="24"/>
          <w:szCs w:val="24"/>
          <w:highlight w:val="none"/>
        </w:rPr>
        <w:t>方有权在要求甲方支付违约金的同时</w:t>
      </w:r>
      <w:r>
        <w:rPr>
          <w:rFonts w:hint="eastAsia" w:cs="Times New Roman" w:asciiTheme="minorEastAsia" w:hAnsiTheme="minorEastAsia" w:eastAsiaTheme="minorEastAsia"/>
          <w:color w:val="auto"/>
          <w:sz w:val="24"/>
          <w:szCs w:val="24"/>
          <w:highlight w:val="none"/>
        </w:rPr>
        <w:t>，书面通知甲方</w:t>
      </w:r>
      <w:r>
        <w:rPr>
          <w:rFonts w:cs="Times New Roman" w:asciiTheme="minorEastAsia" w:hAnsiTheme="minorEastAsia" w:eastAsiaTheme="minorEastAsia"/>
          <w:color w:val="auto"/>
          <w:sz w:val="24"/>
          <w:szCs w:val="24"/>
          <w:highlight w:val="none"/>
        </w:rPr>
        <w:t>解除本合同</w:t>
      </w:r>
      <w:r>
        <w:rPr>
          <w:rFonts w:hint="eastAsia" w:cs="Times New Roman" w:asciiTheme="minorEastAsia" w:hAnsiTheme="minorEastAsia" w:eastAsiaTheme="minorEastAsia"/>
          <w:color w:val="auto"/>
          <w:sz w:val="24"/>
          <w:szCs w:val="24"/>
          <w:highlight w:val="none"/>
        </w:rPr>
        <w:t>；</w:t>
      </w:r>
    </w:p>
    <w:p w14:paraId="1135AD7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6758E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AC5F33">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C72D7A2">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5D6EE5BF">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1.6.7因甲方未按合同约定支付价款、未按合同约定受领标的物、擅自解除合同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6284F2DE">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67" w:name="_Toc15583"/>
      <w:bookmarkStart w:id="68" w:name="_Toc16021"/>
      <w:bookmarkStart w:id="69" w:name="_Toc28375"/>
      <w:r>
        <w:rPr>
          <w:rFonts w:hint="eastAsia" w:cs="Times New Roman" w:asciiTheme="minorEastAsia" w:hAnsiTheme="minorEastAsia" w:eastAsiaTheme="minorEastAsia"/>
          <w:b/>
          <w:bCs/>
          <w:color w:val="auto"/>
          <w:sz w:val="24"/>
          <w:szCs w:val="24"/>
          <w:highlight w:val="none"/>
          <w:lang w:val="zh-CN"/>
        </w:rPr>
        <w:t>1.7</w:t>
      </w:r>
      <w:r>
        <w:rPr>
          <w:rFonts w:cs="Times New Roman" w:asciiTheme="minorEastAsia" w:hAnsiTheme="minorEastAsia" w:eastAsiaTheme="minorEastAsia"/>
          <w:b/>
          <w:bCs/>
          <w:color w:val="auto"/>
          <w:sz w:val="24"/>
          <w:szCs w:val="24"/>
          <w:highlight w:val="none"/>
          <w:lang w:val="zh-CN"/>
        </w:rPr>
        <w:t xml:space="preserve"> </w:t>
      </w:r>
      <w:r>
        <w:rPr>
          <w:rFonts w:hint="eastAsia" w:cs="Times New Roman" w:asciiTheme="minorEastAsia" w:hAnsiTheme="minorEastAsia" w:eastAsiaTheme="minorEastAsia"/>
          <w:b/>
          <w:bCs/>
          <w:color w:val="auto"/>
          <w:sz w:val="24"/>
          <w:szCs w:val="24"/>
          <w:highlight w:val="none"/>
          <w:lang w:val="zh-CN"/>
        </w:rPr>
        <w:t>合同</w:t>
      </w:r>
      <w:r>
        <w:rPr>
          <w:rFonts w:cs="Times New Roman" w:asciiTheme="minorEastAsia" w:hAnsiTheme="minorEastAsia" w:eastAsiaTheme="minorEastAsia"/>
          <w:b/>
          <w:bCs/>
          <w:color w:val="auto"/>
          <w:sz w:val="24"/>
          <w:szCs w:val="24"/>
          <w:highlight w:val="none"/>
          <w:lang w:val="zh-CN"/>
        </w:rPr>
        <w:t>争议的解决</w:t>
      </w:r>
      <w:bookmarkEnd w:id="67"/>
      <w:bookmarkEnd w:id="68"/>
      <w:bookmarkEnd w:id="69"/>
    </w:p>
    <w:p w14:paraId="544D5F46">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本合</w:t>
      </w:r>
      <w:r>
        <w:rPr>
          <w:rFonts w:cs="Times New Roman" w:asciiTheme="minorEastAsia" w:hAnsiTheme="minorEastAsia" w:eastAsiaTheme="minorEastAsia"/>
          <w:color w:val="auto"/>
          <w:sz w:val="24"/>
          <w:szCs w:val="24"/>
          <w:highlight w:val="none"/>
        </w:rPr>
        <w:t>同履行过程中发生的任何争议，双方当事人均可</w:t>
      </w:r>
      <w:r>
        <w:rPr>
          <w:rFonts w:hint="eastAsia" w:cs="Times New Roman" w:asciiTheme="minorEastAsia" w:hAnsiTheme="minorEastAsia" w:eastAsiaTheme="minorEastAsia"/>
          <w:color w:val="auto"/>
          <w:sz w:val="24"/>
          <w:szCs w:val="24"/>
          <w:highlight w:val="none"/>
        </w:rPr>
        <w:t>通过和解或者调解解决；不愿和解、调解或者和解、调解不成的，可以选择下列第</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种方式解决：</w:t>
      </w:r>
    </w:p>
    <w:p w14:paraId="59A662D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1.7.1将争议提交</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仲裁委员会依申请仲裁时其现行有效的仲裁规则裁决；</w:t>
      </w:r>
    </w:p>
    <w:p w14:paraId="1B4BEB44">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1.7.2向</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人民法院起诉。</w:t>
      </w:r>
    </w:p>
    <w:p w14:paraId="44813692">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70" w:name="_Toc15322"/>
      <w:bookmarkStart w:id="71" w:name="_Toc7245"/>
      <w:bookmarkStart w:id="72" w:name="_Toc11173"/>
      <w:r>
        <w:rPr>
          <w:rFonts w:hint="eastAsia" w:cs="Times New Roman" w:asciiTheme="minorEastAsia" w:hAnsiTheme="minorEastAsia" w:eastAsiaTheme="minorEastAsia"/>
          <w:b/>
          <w:bCs/>
          <w:color w:val="auto"/>
          <w:sz w:val="24"/>
          <w:szCs w:val="24"/>
          <w:highlight w:val="none"/>
          <w:lang w:val="zh-CN"/>
        </w:rPr>
        <w:t>1.8</w:t>
      </w:r>
      <w:r>
        <w:rPr>
          <w:rFonts w:cs="Times New Roman" w:asciiTheme="minorEastAsia" w:hAnsiTheme="minorEastAsia" w:eastAsiaTheme="minorEastAsia"/>
          <w:b/>
          <w:bCs/>
          <w:color w:val="auto"/>
          <w:sz w:val="24"/>
          <w:szCs w:val="24"/>
          <w:highlight w:val="none"/>
          <w:lang w:val="zh-CN"/>
        </w:rPr>
        <w:t xml:space="preserve"> 合同生效</w:t>
      </w:r>
      <w:bookmarkEnd w:id="70"/>
      <w:bookmarkEnd w:id="71"/>
      <w:bookmarkEnd w:id="72"/>
    </w:p>
    <w:p w14:paraId="644FCF0F">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本合同自</w:t>
      </w:r>
      <w:r>
        <w:rPr>
          <w:rFonts w:hint="eastAsia" w:cs="Times New Roman" w:asciiTheme="minorEastAsia" w:hAnsiTheme="minorEastAsia" w:eastAsiaTheme="minorEastAsia"/>
          <w:color w:val="auto"/>
          <w:sz w:val="24"/>
          <w:szCs w:val="24"/>
          <w:highlight w:val="none"/>
        </w:rPr>
        <w:t>双方当事人盖章时</w:t>
      </w:r>
      <w:r>
        <w:rPr>
          <w:rFonts w:cs="Times New Roman" w:asciiTheme="minorEastAsia" w:hAnsiTheme="minorEastAsia" w:eastAsiaTheme="minorEastAsia"/>
          <w:color w:val="auto"/>
          <w:sz w:val="24"/>
          <w:szCs w:val="24"/>
          <w:highlight w:val="none"/>
        </w:rPr>
        <w:t>生效。</w:t>
      </w:r>
    </w:p>
    <w:p w14:paraId="5049637F">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p>
    <w:p w14:paraId="515B3D4E">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p>
    <w:p w14:paraId="42AC65BB">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p>
    <w:p w14:paraId="36D1FB59">
      <w:pPr>
        <w:autoSpaceDE w:val="0"/>
        <w:autoSpaceDN w:val="0"/>
        <w:adjustRightInd w:val="0"/>
        <w:spacing w:line="560" w:lineRule="exact"/>
        <w:rPr>
          <w:rFonts w:cs="Times New Roman" w:asciiTheme="minorEastAsia" w:hAnsiTheme="minorEastAsia" w:eastAsiaTheme="minorEastAsia"/>
          <w:bCs/>
          <w:color w:val="auto"/>
          <w:sz w:val="24"/>
          <w:szCs w:val="24"/>
          <w:highlight w:val="none"/>
          <w:lang w:val="zh-CN"/>
        </w:rPr>
      </w:pPr>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5BB9A027">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3B1A630D">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75196C2A">
      <w:pPr>
        <w:widowControl/>
        <w:spacing w:line="560" w:lineRule="exact"/>
        <w:jc w:val="left"/>
        <w:rPr>
          <w:rFonts w:cs="Times New Roman" w:asciiTheme="minorEastAsia" w:hAnsiTheme="minorEastAsia" w:eastAsiaTheme="minorEastAsia"/>
          <w:bCs/>
          <w:color w:val="auto"/>
          <w:sz w:val="24"/>
          <w:szCs w:val="24"/>
          <w:highlight w:val="none"/>
        </w:rPr>
      </w:pPr>
      <w:bookmarkStart w:id="73" w:name="_Toc331685783"/>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1FD3722E">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bookmarkStart w:id="74" w:name="_Hlk110099149"/>
      <w:r>
        <w:rPr>
          <w:rFonts w:hint="eastAsia" w:ascii="宋体" w:hAnsi="宋体" w:eastAsia="宋体"/>
          <w:color w:val="auto"/>
          <w:sz w:val="24"/>
          <w:szCs w:val="24"/>
          <w:highlight w:val="none"/>
        </w:rPr>
        <w:t>乙方账户信息</w:t>
      </w:r>
    </w:p>
    <w:p w14:paraId="689F6B36">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户名：</w:t>
      </w:r>
      <w:r>
        <w:rPr>
          <w:rFonts w:hint="eastAsia" w:ascii="宋体" w:hAnsi="宋体" w:eastAsia="宋体"/>
          <w:color w:val="auto"/>
          <w:sz w:val="24"/>
          <w:szCs w:val="24"/>
          <w:highlight w:val="none"/>
          <w:u w:val="single"/>
        </w:rPr>
        <w:t xml:space="preserve">            </w:t>
      </w:r>
    </w:p>
    <w:p w14:paraId="6A0276C7">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账号：</w:t>
      </w:r>
      <w:r>
        <w:rPr>
          <w:rFonts w:hint="eastAsia" w:ascii="宋体" w:hAnsi="宋体" w:eastAsia="宋体"/>
          <w:color w:val="auto"/>
          <w:sz w:val="24"/>
          <w:szCs w:val="24"/>
          <w:highlight w:val="none"/>
          <w:u w:val="single"/>
        </w:rPr>
        <w:t xml:space="preserve">            </w:t>
      </w:r>
    </w:p>
    <w:p w14:paraId="55A86867">
      <w:pPr>
        <w:spacing w:line="5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bookmarkEnd w:id="74"/>
    <w:p w14:paraId="2BD7BE5B">
      <w:pPr>
        <w:widowControl/>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0B94A286">
      <w:pPr>
        <w:spacing w:line="360" w:lineRule="auto"/>
        <w:jc w:val="center"/>
        <w:outlineLvl w:val="1"/>
        <w:rPr>
          <w:rFonts w:asciiTheme="minorEastAsia" w:hAnsiTheme="minorEastAsia" w:eastAsiaTheme="minorEastAsia"/>
          <w:b/>
          <w:color w:val="auto"/>
          <w:sz w:val="24"/>
          <w:highlight w:val="none"/>
        </w:rPr>
      </w:pPr>
      <w:bookmarkStart w:id="75" w:name="_Toc415"/>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73"/>
      <w:bookmarkEnd w:id="75"/>
    </w:p>
    <w:p w14:paraId="337272C3">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76" w:name="_Ref467378499"/>
      <w:bookmarkStart w:id="77" w:name="_Ref467379205"/>
      <w:bookmarkStart w:id="78" w:name="_Ref467379214"/>
      <w:bookmarkStart w:id="79" w:name="_Ref467379225"/>
      <w:bookmarkStart w:id="80" w:name="_Toc487900349"/>
      <w:bookmarkStart w:id="81" w:name="_Toc19614"/>
      <w:bookmarkStart w:id="82" w:name="_Ref467379109"/>
      <w:bookmarkStart w:id="83" w:name="_Ref467378463"/>
      <w:bookmarkStart w:id="84" w:name="_Toc16917"/>
      <w:bookmarkStart w:id="85" w:name="_Ref467379101"/>
      <w:bookmarkStart w:id="86" w:name="_Toc28763"/>
      <w:bookmarkStart w:id="87" w:name="_Ref467379195"/>
      <w:bookmarkStart w:id="88" w:name="_Toc259093669"/>
      <w:bookmarkStart w:id="89" w:name="_Toc279701240"/>
      <w:bookmarkStart w:id="90" w:name="_Ref467379094"/>
      <w:bookmarkStart w:id="91" w:name="_Ref467378404"/>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 xml:space="preserve"> 定义</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34D112A">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本合同中的下列</w:t>
      </w:r>
      <w:r>
        <w:rPr>
          <w:rFonts w:hint="eastAsia" w:cs="Times New Roman" w:asciiTheme="minorEastAsia" w:hAnsiTheme="minorEastAsia" w:eastAsiaTheme="minorEastAsia"/>
          <w:color w:val="auto"/>
          <w:sz w:val="24"/>
          <w:szCs w:val="24"/>
          <w:highlight w:val="none"/>
        </w:rPr>
        <w:t>词</w:t>
      </w:r>
      <w:r>
        <w:rPr>
          <w:rFonts w:cs="Times New Roman" w:asciiTheme="minorEastAsia" w:hAnsiTheme="minorEastAsia" w:eastAsiaTheme="minorEastAsia"/>
          <w:color w:val="auto"/>
          <w:sz w:val="24"/>
          <w:szCs w:val="24"/>
          <w:highlight w:val="none"/>
        </w:rPr>
        <w:t>语应</w:t>
      </w:r>
      <w:r>
        <w:rPr>
          <w:rFonts w:hint="eastAsia" w:cs="Times New Roman" w:asciiTheme="minorEastAsia" w:hAnsiTheme="minorEastAsia" w:eastAsiaTheme="minorEastAsia"/>
          <w:color w:val="auto"/>
          <w:sz w:val="24"/>
          <w:szCs w:val="24"/>
          <w:highlight w:val="none"/>
        </w:rPr>
        <w:t>按以下内容进行</w:t>
      </w:r>
      <w:r>
        <w:rPr>
          <w:rFonts w:cs="Times New Roman" w:asciiTheme="minorEastAsia" w:hAnsiTheme="minorEastAsia" w:eastAsiaTheme="minorEastAsia"/>
          <w:color w:val="auto"/>
          <w:sz w:val="24"/>
          <w:szCs w:val="24"/>
          <w:highlight w:val="none"/>
        </w:rPr>
        <w:t>解释：</w:t>
      </w:r>
    </w:p>
    <w:p w14:paraId="06D769BD">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sz w:val="24"/>
          <w:szCs w:val="24"/>
          <w:highlight w:val="none"/>
        </w:rPr>
        <w:t>“合同”系指采购人和中标人签订的载明双方当事人所达成的协议，并包括所有的附件、附录和构成合同的其他文件。</w:t>
      </w:r>
    </w:p>
    <w:p w14:paraId="56FC23A3">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1.2“合同价”系指根据合同约定，中标人在完全履行合同义务后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采购人应支付给中标人的价格。</w:t>
      </w:r>
    </w:p>
    <w:p w14:paraId="320C118B">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1.3“</w:t>
      </w:r>
      <w:r>
        <w:rPr>
          <w:rFonts w:hint="eastAsia" w:cs="Times New Roman" w:asciiTheme="minorEastAsia" w:hAnsiTheme="minorEastAsia" w:eastAsiaTheme="minorEastAsia"/>
          <w:color w:val="auto"/>
          <w:sz w:val="24"/>
          <w:szCs w:val="24"/>
          <w:highlight w:val="none"/>
        </w:rPr>
        <w:t>服务</w:t>
      </w:r>
      <w:r>
        <w:rPr>
          <w:rFonts w:cs="Times New Roman" w:asciiTheme="minorEastAsia" w:hAnsiTheme="minorEastAsia" w:eastAsiaTheme="minorEastAsia"/>
          <w:color w:val="auto"/>
          <w:sz w:val="24"/>
          <w:szCs w:val="24"/>
          <w:highlight w:val="none"/>
        </w:rPr>
        <w:t>”系指</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根据合同约定应向采购人</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w:t>
      </w:r>
      <w:r>
        <w:rPr>
          <w:rFonts w:hint="eastAsia" w:cs="Times New Roman" w:asciiTheme="minorEastAsia" w:hAnsiTheme="minorEastAsia" w:eastAsiaTheme="minorEastAsia"/>
          <w:color w:val="auto"/>
          <w:sz w:val="24"/>
          <w:szCs w:val="24"/>
          <w:highlight w:val="none"/>
        </w:rPr>
        <w:t>除货物和工程以外的其他政府采购对象，包括采购人自身需要的服务和向社会公众提供的公共服务。</w:t>
      </w:r>
    </w:p>
    <w:p w14:paraId="486472CE">
      <w:pPr>
        <w:spacing w:line="360" w:lineRule="auto"/>
        <w:ind w:firstLine="435"/>
        <w:rPr>
          <w:rFonts w:cs="Times New Roman" w:asciiTheme="minorEastAsia" w:hAnsiTheme="minorEastAsia" w:eastAsiaTheme="minorEastAsia"/>
          <w:color w:val="auto"/>
          <w:sz w:val="24"/>
          <w:szCs w:val="24"/>
          <w:highlight w:val="none"/>
        </w:rPr>
      </w:pPr>
      <w:bookmarkStart w:id="92" w:name="_Ref46737884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甲方</w:t>
      </w:r>
      <w:r>
        <w:rPr>
          <w:rFonts w:cs="Times New Roman" w:asciiTheme="minorEastAsia" w:hAnsiTheme="minorEastAsia" w:eastAsiaTheme="minorEastAsia"/>
          <w:color w:val="auto"/>
          <w:sz w:val="24"/>
          <w:szCs w:val="24"/>
          <w:highlight w:val="none"/>
        </w:rPr>
        <w:t>”系指与</w:t>
      </w:r>
      <w:r>
        <w:rPr>
          <w:rFonts w:hint="eastAsia" w:cs="Times New Roman" w:asciiTheme="minorEastAsia" w:hAnsiTheme="minorEastAsia" w:eastAsiaTheme="minorEastAsia"/>
          <w:color w:val="auto"/>
          <w:sz w:val="24"/>
          <w:szCs w:val="24"/>
          <w:highlight w:val="none"/>
        </w:rPr>
        <w:t>中标人</w:t>
      </w:r>
      <w:r>
        <w:rPr>
          <w:rFonts w:cs="Times New Roman" w:asciiTheme="minorEastAsia" w:hAnsiTheme="minorEastAsia" w:eastAsiaTheme="minorEastAsia"/>
          <w:color w:val="auto"/>
          <w:sz w:val="24"/>
          <w:szCs w:val="24"/>
          <w:highlight w:val="none"/>
        </w:rPr>
        <w:t>签署合同的采购人</w:t>
      </w:r>
      <w:bookmarkEnd w:id="92"/>
      <w:r>
        <w:rPr>
          <w:rFonts w:hint="eastAsia" w:cs="Times New Roman" w:asciiTheme="minorEastAsia" w:hAnsiTheme="minorEastAsia" w:eastAsiaTheme="minorEastAsia"/>
          <w:color w:val="auto"/>
          <w:sz w:val="24"/>
          <w:szCs w:val="24"/>
          <w:highlight w:val="none"/>
        </w:rPr>
        <w:t>；采购人委托采购代理机构代表其与乙方签订合同的，采购人的授权委托书作为合同附件。</w:t>
      </w:r>
    </w:p>
    <w:p w14:paraId="230A3BA2">
      <w:pPr>
        <w:spacing w:line="360" w:lineRule="auto"/>
        <w:ind w:firstLine="435"/>
        <w:rPr>
          <w:rFonts w:cs="Times New Roman" w:asciiTheme="minorEastAsia" w:hAnsiTheme="minorEastAsia" w:eastAsiaTheme="minorEastAsia"/>
          <w:color w:val="auto"/>
          <w:sz w:val="24"/>
          <w:szCs w:val="24"/>
          <w:highlight w:val="none"/>
        </w:rPr>
      </w:pPr>
      <w:bookmarkStart w:id="93" w:name="_Ref467379400"/>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“乙方”系指根据合同约定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的中标人</w:t>
      </w:r>
      <w:bookmarkEnd w:id="93"/>
      <w:r>
        <w:rPr>
          <w:rFonts w:hint="eastAsia" w:cs="Times New Roman" w:asciiTheme="minorEastAsia" w:hAnsiTheme="minorEastAsia" w:eastAsiaTheme="minorEastAsia"/>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55E452">
      <w:pPr>
        <w:spacing w:line="360" w:lineRule="auto"/>
        <w:ind w:firstLine="435"/>
        <w:rPr>
          <w:rFonts w:cs="Times New Roman" w:asciiTheme="minorEastAsia" w:hAnsiTheme="minorEastAsia" w:eastAsiaTheme="minorEastAsia"/>
          <w:color w:val="auto"/>
          <w:sz w:val="24"/>
          <w:szCs w:val="24"/>
          <w:highlight w:val="none"/>
        </w:rPr>
      </w:pPr>
      <w:bookmarkStart w:id="94" w:name="_Ref467379436"/>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6</w:t>
      </w:r>
      <w:r>
        <w:rPr>
          <w:rFonts w:cs="Times New Roman" w:asciiTheme="minorEastAsia" w:hAnsiTheme="minorEastAsia" w:eastAsiaTheme="minorEastAsia"/>
          <w:color w:val="auto"/>
          <w:sz w:val="24"/>
          <w:szCs w:val="24"/>
          <w:highlight w:val="none"/>
        </w:rPr>
        <w:t>“现场”系指合同约定</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的地点。</w:t>
      </w:r>
      <w:bookmarkEnd w:id="94"/>
    </w:p>
    <w:p w14:paraId="07D4F306">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95" w:name="_Toc32504"/>
      <w:bookmarkStart w:id="96" w:name="_Toc13336"/>
      <w:bookmarkStart w:id="97" w:name="_Toc487900350"/>
      <w:bookmarkStart w:id="98" w:name="_Toc27635"/>
      <w:bookmarkStart w:id="99" w:name="_Toc279701241"/>
      <w:bookmarkStart w:id="100" w:name="_Toc25909367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2 技术规范</w:t>
      </w:r>
      <w:bookmarkEnd w:id="95"/>
      <w:bookmarkEnd w:id="96"/>
      <w:bookmarkEnd w:id="97"/>
      <w:bookmarkEnd w:id="98"/>
      <w:bookmarkEnd w:id="99"/>
      <w:bookmarkEnd w:id="100"/>
    </w:p>
    <w:p w14:paraId="2FBEC1DF">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如果采购文件中没有技术规范的相应说明，那么应以国家有关部门最新颁布的相应标准</w:t>
      </w:r>
      <w:r>
        <w:rPr>
          <w:rFonts w:hint="eastAsia" w:cs="Times New Roman" w:asciiTheme="minorEastAsia" w:hAnsiTheme="minorEastAsia" w:eastAsiaTheme="minorEastAsia"/>
          <w:color w:val="auto"/>
          <w:sz w:val="24"/>
          <w:szCs w:val="24"/>
          <w:highlight w:val="none"/>
        </w:rPr>
        <w:t>和</w:t>
      </w:r>
      <w:r>
        <w:rPr>
          <w:rFonts w:cs="Times New Roman" w:asciiTheme="minorEastAsia" w:hAnsiTheme="minorEastAsia" w:eastAsiaTheme="minorEastAsia"/>
          <w:color w:val="auto"/>
          <w:sz w:val="24"/>
          <w:szCs w:val="24"/>
          <w:highlight w:val="none"/>
        </w:rPr>
        <w:t>规范为准。</w:t>
      </w:r>
    </w:p>
    <w:p w14:paraId="53023913">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01" w:name="_Toc9829"/>
      <w:bookmarkStart w:id="102" w:name="_Toc487900351"/>
      <w:bookmarkStart w:id="103" w:name="_Toc27853"/>
      <w:bookmarkStart w:id="104" w:name="_Toc279701242"/>
      <w:bookmarkStart w:id="105" w:name="_Toc31634"/>
      <w:bookmarkStart w:id="106" w:name="_Toc259093671"/>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3 知识产权</w:t>
      </w:r>
      <w:bookmarkEnd w:id="101"/>
      <w:bookmarkEnd w:id="102"/>
      <w:bookmarkEnd w:id="103"/>
      <w:bookmarkEnd w:id="104"/>
      <w:bookmarkEnd w:id="105"/>
      <w:bookmarkEnd w:id="106"/>
    </w:p>
    <w:p w14:paraId="24842047">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2.3.1乙</w:t>
      </w:r>
      <w:r>
        <w:rPr>
          <w:rFonts w:cs="Times New Roman" w:asciiTheme="minorEastAsia" w:hAnsiTheme="minorEastAsia" w:eastAsiaTheme="minorEastAsia"/>
          <w:color w:val="auto"/>
          <w:sz w:val="24"/>
          <w:szCs w:val="24"/>
          <w:highlight w:val="none"/>
        </w:rPr>
        <w:t>方应保证</w:t>
      </w:r>
      <w:r>
        <w:rPr>
          <w:rFonts w:hint="eastAsia" w:cs="Times New Roman" w:asciiTheme="minorEastAsia" w:hAnsiTheme="minorEastAsia" w:eastAsiaTheme="minorEastAsia"/>
          <w:color w:val="auto"/>
          <w:sz w:val="24"/>
          <w:szCs w:val="24"/>
          <w:highlight w:val="none"/>
        </w:rPr>
        <w:t>其提供的服务</w:t>
      </w:r>
      <w:r>
        <w:rPr>
          <w:rFonts w:cs="Times New Roman" w:asciiTheme="minorEastAsia" w:hAnsiTheme="minorEastAsia" w:eastAsiaTheme="minorEastAsia"/>
          <w:color w:val="auto"/>
          <w:sz w:val="24"/>
          <w:szCs w:val="24"/>
          <w:highlight w:val="none"/>
        </w:rPr>
        <w:t>不受任何第三方提出的侵犯其著作权、商标权、专利权等知识产权方面的起诉</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如果任何第三方提出侵权</w:t>
      </w:r>
      <w:r>
        <w:rPr>
          <w:rFonts w:hint="eastAsia" w:cs="Times New Roman" w:asciiTheme="minorEastAsia" w:hAnsiTheme="minorEastAsia" w:eastAsiaTheme="minorEastAsia"/>
          <w:color w:val="auto"/>
          <w:sz w:val="24"/>
          <w:szCs w:val="24"/>
          <w:highlight w:val="none"/>
        </w:rPr>
        <w:t>指控</w:t>
      </w:r>
      <w:r>
        <w:rPr>
          <w:rFonts w:cs="Times New Roman" w:asciiTheme="minorEastAsia" w:hAnsiTheme="minorEastAsia" w:eastAsiaTheme="minorEastAsia"/>
          <w:color w:val="auto"/>
          <w:sz w:val="24"/>
          <w:szCs w:val="24"/>
          <w:highlight w:val="none"/>
        </w:rPr>
        <w:t>，那么乙方须与该第三方交涉并承担由此发生的一切责任、费用和赔偿</w:t>
      </w:r>
      <w:r>
        <w:rPr>
          <w:rFonts w:hint="eastAsia" w:cs="Times New Roman" w:asciiTheme="minorEastAsia" w:hAnsiTheme="minorEastAsia" w:eastAsiaTheme="minorEastAsia"/>
          <w:color w:val="auto"/>
          <w:sz w:val="24"/>
          <w:szCs w:val="24"/>
          <w:highlight w:val="none"/>
        </w:rPr>
        <w:t>；</w:t>
      </w:r>
    </w:p>
    <w:p w14:paraId="2C889C2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2.3.2具有知识产权的计算机软件等货物的知识产权归属，</w:t>
      </w: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2BF215B8">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07" w:name="_Toc259093674"/>
      <w:bookmarkStart w:id="108" w:name="_Toc279701245"/>
      <w:bookmarkStart w:id="109" w:name="_Ref467379542"/>
      <w:bookmarkStart w:id="110" w:name="_Toc487900354"/>
      <w:bookmarkStart w:id="111" w:name="_Ref467379536"/>
      <w:bookmarkStart w:id="112" w:name="_Ref467378591"/>
      <w:bookmarkStart w:id="113" w:name="_Ref467379527"/>
      <w:bookmarkStart w:id="114" w:name="_Ref467378541"/>
      <w:bookmarkStart w:id="115" w:name="_Toc19074"/>
      <w:bookmarkStart w:id="116" w:name="_Toc30272"/>
      <w:bookmarkStart w:id="117" w:name="_Toc26182"/>
      <w:r>
        <w:rPr>
          <w:rFonts w:hint="eastAsia" w:cs="Times New Roman" w:asciiTheme="minorEastAsia" w:hAnsiTheme="minorEastAsia" w:eastAsiaTheme="minorEastAsia"/>
          <w:b/>
          <w:bCs/>
          <w:color w:val="auto"/>
          <w:sz w:val="24"/>
          <w:szCs w:val="24"/>
          <w:highlight w:val="none"/>
          <w:lang w:val="zh-CN"/>
        </w:rPr>
        <w:t>2.</w:t>
      </w:r>
      <w:bookmarkEnd w:id="107"/>
      <w:bookmarkEnd w:id="108"/>
      <w:bookmarkEnd w:id="109"/>
      <w:bookmarkEnd w:id="110"/>
      <w:bookmarkEnd w:id="111"/>
      <w:bookmarkEnd w:id="112"/>
      <w:bookmarkEnd w:id="113"/>
      <w:bookmarkEnd w:id="114"/>
      <w:r>
        <w:rPr>
          <w:rFonts w:cs="Times New Roman" w:asciiTheme="minorEastAsia" w:hAnsiTheme="minorEastAsia" w:eastAsiaTheme="minorEastAsia"/>
          <w:b/>
          <w:bCs/>
          <w:color w:val="auto"/>
          <w:sz w:val="24"/>
          <w:szCs w:val="24"/>
          <w:highlight w:val="none"/>
          <w:lang w:val="zh-CN"/>
        </w:rPr>
        <w:t xml:space="preserve">4 </w:t>
      </w:r>
      <w:r>
        <w:rPr>
          <w:rFonts w:hint="eastAsia" w:cs="Times New Roman" w:asciiTheme="minorEastAsia" w:hAnsiTheme="minorEastAsia" w:eastAsiaTheme="minorEastAsia"/>
          <w:b/>
          <w:bCs/>
          <w:color w:val="auto"/>
          <w:sz w:val="24"/>
          <w:szCs w:val="24"/>
          <w:highlight w:val="none"/>
          <w:lang w:val="zh-CN"/>
        </w:rPr>
        <w:t>履约检查和问题反馈</w:t>
      </w:r>
      <w:bookmarkEnd w:id="115"/>
      <w:bookmarkEnd w:id="116"/>
      <w:bookmarkEnd w:id="117"/>
    </w:p>
    <w:p w14:paraId="18AB8A4B">
      <w:pPr>
        <w:spacing w:line="360" w:lineRule="auto"/>
        <w:ind w:firstLine="435"/>
        <w:rPr>
          <w:rFonts w:cs="Times New Roman" w:asciiTheme="minorEastAsia" w:hAnsiTheme="minorEastAsia" w:eastAsiaTheme="minorEastAsia"/>
          <w:color w:val="auto"/>
          <w:sz w:val="24"/>
          <w:szCs w:val="24"/>
          <w:highlight w:val="none"/>
        </w:rPr>
      </w:pPr>
      <w:bookmarkStart w:id="118" w:name="_Toc186431854"/>
      <w:bookmarkStart w:id="119" w:name="_Toc487900357"/>
      <w:bookmarkStart w:id="120" w:name="_Ref467379793"/>
      <w:bookmarkStart w:id="121" w:name="_Ref467379807"/>
      <w:bookmarkStart w:id="122" w:name="_Toc259093676"/>
      <w:bookmarkStart w:id="123" w:name="_Toc279701247"/>
      <w:r>
        <w:rPr>
          <w:rFonts w:hint="eastAsia" w:cs="Times New Roman" w:asciiTheme="minorEastAsia" w:hAnsiTheme="minorEastAsia" w:eastAsiaTheme="minorEastAsia"/>
          <w:color w:val="auto"/>
          <w:sz w:val="24"/>
          <w:szCs w:val="24"/>
          <w:highlight w:val="none"/>
        </w:rPr>
        <w:t>2.4</w:t>
      </w:r>
      <w:r>
        <w:rPr>
          <w:rFonts w:cs="Times New Roman" w:asciiTheme="minorEastAsia" w:hAnsiTheme="minorEastAsia" w:eastAsiaTheme="minorEastAsia"/>
          <w:color w:val="auto"/>
          <w:sz w:val="24"/>
          <w:szCs w:val="24"/>
          <w:highlight w:val="none"/>
        </w:rPr>
        <w:t>.1甲方</w:t>
      </w:r>
      <w:r>
        <w:rPr>
          <w:rFonts w:hint="eastAsia" w:cs="Times New Roman" w:asciiTheme="minorEastAsia" w:hAnsiTheme="minorEastAsia" w:eastAsiaTheme="minorEastAsia"/>
          <w:color w:val="auto"/>
          <w:sz w:val="24"/>
          <w:szCs w:val="24"/>
          <w:highlight w:val="none"/>
        </w:rPr>
        <w:t>有权</w:t>
      </w:r>
      <w:r>
        <w:rPr>
          <w:rFonts w:cs="Times New Roman" w:asciiTheme="minorEastAsia" w:hAnsiTheme="minorEastAsia" w:eastAsiaTheme="minorEastAsia"/>
          <w:color w:val="auto"/>
          <w:sz w:val="24"/>
          <w:szCs w:val="24"/>
          <w:highlight w:val="none"/>
        </w:rPr>
        <w:t>在其认为必要时</w:t>
      </w:r>
      <w:r>
        <w:rPr>
          <w:rFonts w:hint="eastAsia" w:cs="Times New Roman" w:asciiTheme="minorEastAsia" w:hAnsiTheme="minorEastAsia" w:eastAsiaTheme="minorEastAsia"/>
          <w:color w:val="auto"/>
          <w:sz w:val="24"/>
          <w:szCs w:val="24"/>
          <w:highlight w:val="none"/>
        </w:rPr>
        <w:t>，对乙方是否能够按照合同约定提供服务进行履约检查，以确保乙方所提供的服务能够依约满足甲方项目需求，但不得因履约检查妨碍乙方的正常工作，乙方应予积极配合；</w:t>
      </w:r>
    </w:p>
    <w:p w14:paraId="01E9B06D">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.2合同履行期间，甲方有权将履行过程中出现的问题反馈给乙方，双方当事人应以书面形式约定需要完善和改进的内容</w:t>
      </w:r>
      <w:bookmarkEnd w:id="118"/>
      <w:bookmarkStart w:id="124" w:name="_Toc186431855"/>
      <w:r>
        <w:rPr>
          <w:rFonts w:hint="eastAsia" w:cs="Times New Roman" w:asciiTheme="minorEastAsia" w:hAnsiTheme="minorEastAsia" w:eastAsiaTheme="minorEastAsia"/>
          <w:color w:val="auto"/>
          <w:sz w:val="24"/>
          <w:szCs w:val="24"/>
          <w:highlight w:val="none"/>
        </w:rPr>
        <w:t>。</w:t>
      </w:r>
    </w:p>
    <w:bookmarkEnd w:id="124"/>
    <w:p w14:paraId="54D377C3">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25" w:name="_Toc28451"/>
      <w:bookmarkStart w:id="126" w:name="_Toc7836"/>
      <w:bookmarkStart w:id="127" w:name="_Toc19219"/>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结算方式和付款条件</w:t>
      </w:r>
      <w:bookmarkEnd w:id="119"/>
      <w:bookmarkEnd w:id="120"/>
      <w:bookmarkEnd w:id="121"/>
      <w:bookmarkEnd w:id="122"/>
      <w:bookmarkEnd w:id="123"/>
      <w:bookmarkEnd w:id="125"/>
      <w:bookmarkEnd w:id="126"/>
      <w:bookmarkEnd w:id="127"/>
    </w:p>
    <w:p w14:paraId="27B67A7D">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详见</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w:t>
      </w:r>
    </w:p>
    <w:p w14:paraId="2B8656D6">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28" w:name="_Toc487900358"/>
      <w:bookmarkStart w:id="129" w:name="_Toc279701248"/>
      <w:bookmarkStart w:id="130" w:name="_Ref467379852"/>
      <w:bookmarkStart w:id="131" w:name="_Ref467379863"/>
      <w:bookmarkStart w:id="132" w:name="_Toc259093677"/>
      <w:bookmarkStart w:id="133" w:name="_Ref467379923"/>
      <w:bookmarkStart w:id="134" w:name="_Toc774"/>
      <w:bookmarkStart w:id="135" w:name="_Toc16110"/>
      <w:bookmarkStart w:id="136" w:name="_Toc3225"/>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6</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技术资料</w:t>
      </w:r>
      <w:bookmarkEnd w:id="128"/>
      <w:bookmarkEnd w:id="129"/>
      <w:bookmarkEnd w:id="130"/>
      <w:bookmarkEnd w:id="131"/>
      <w:bookmarkEnd w:id="132"/>
      <w:bookmarkEnd w:id="133"/>
      <w:r>
        <w:rPr>
          <w:rFonts w:cs="Times New Roman" w:asciiTheme="minorEastAsia" w:hAnsiTheme="minorEastAsia" w:eastAsiaTheme="minorEastAsia"/>
          <w:b/>
          <w:bCs/>
          <w:color w:val="auto"/>
          <w:sz w:val="24"/>
          <w:szCs w:val="24"/>
          <w:highlight w:val="none"/>
          <w:lang w:val="zh-CN"/>
        </w:rPr>
        <w:t>和保密义务</w:t>
      </w:r>
      <w:bookmarkEnd w:id="134"/>
      <w:bookmarkEnd w:id="135"/>
      <w:bookmarkEnd w:id="136"/>
    </w:p>
    <w:p w14:paraId="4C8FB5A9">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6.1</w:t>
      </w:r>
      <w:r>
        <w:rPr>
          <w:rFonts w:hint="eastAsia" w:cs="Times New Roman" w:asciiTheme="minorEastAsia" w:hAnsiTheme="minorEastAsia" w:eastAsiaTheme="minorEastAsia"/>
          <w:color w:val="auto"/>
          <w:sz w:val="24"/>
          <w:szCs w:val="24"/>
          <w:highlight w:val="none"/>
        </w:rPr>
        <w:t>乙方有权依据合同约定和项目需要，向甲方了解有关情况，调阅有关资料等，甲方应予积极配合；</w:t>
      </w:r>
    </w:p>
    <w:p w14:paraId="5D7C8D6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.2乙方有义务妥善保管和保护由甲方提供的前款信息和资料等；</w:t>
      </w:r>
    </w:p>
    <w:p w14:paraId="272391F7">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6.</w:t>
      </w:r>
      <w:r>
        <w:rPr>
          <w:rFonts w:hint="eastAsia" w:cs="Times New Roman" w:asciiTheme="minorEastAsia" w:hAnsiTheme="minorEastAsia" w:eastAsiaTheme="minorEastAsia"/>
          <w:color w:val="auto"/>
          <w:sz w:val="24"/>
          <w:szCs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auto"/>
          <w:sz w:val="24"/>
          <w:szCs w:val="24"/>
          <w:highlight w:val="none"/>
        </w:rPr>
        <w:t>技术情报</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技术资料</w:t>
      </w:r>
      <w:r>
        <w:rPr>
          <w:rFonts w:hint="eastAsia" w:cs="Times New Roman" w:asciiTheme="minorEastAsia" w:hAnsiTheme="minorEastAsia" w:eastAsiaTheme="minorEastAsia"/>
          <w:color w:val="auto"/>
          <w:sz w:val="24"/>
          <w:szCs w:val="24"/>
          <w:highlight w:val="none"/>
        </w:rPr>
        <w:t>、商业秘密和商业信息等，并采取一切合理和必要措施和方式防止任何第三方接触到对方当事人的上述保密信息和资料。</w:t>
      </w:r>
    </w:p>
    <w:p w14:paraId="7D8E06C9">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37" w:name="_Toc7860"/>
      <w:r>
        <w:rPr>
          <w:rFonts w:cs="Times New Roman" w:asciiTheme="minorEastAsia" w:hAnsiTheme="minorEastAsia" w:eastAsiaTheme="minorEastAsia"/>
          <w:b/>
          <w:bCs/>
          <w:color w:val="auto"/>
          <w:sz w:val="24"/>
          <w:szCs w:val="24"/>
          <w:highlight w:val="none"/>
          <w:lang w:val="zh-CN"/>
        </w:rPr>
        <w:t>2.7 质量保证</w:t>
      </w:r>
      <w:bookmarkEnd w:id="137"/>
    </w:p>
    <w:p w14:paraId="1F5ADFB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.1乙方应建立和完善履行合同的内部质量保证体系，并提供相关内部规章制度给甲方，以便甲方进行监督检查；</w:t>
      </w:r>
    </w:p>
    <w:p w14:paraId="414E339A">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7</w:t>
      </w:r>
      <w:r>
        <w:rPr>
          <w:rFonts w:hint="eastAsia" w:cs="Times New Roman" w:asciiTheme="minorEastAsia" w:hAnsiTheme="minorEastAsia" w:eastAsiaTheme="minorEastAsia"/>
          <w:color w:val="auto"/>
          <w:sz w:val="24"/>
          <w:szCs w:val="24"/>
          <w:highlight w:val="none"/>
        </w:rPr>
        <w:t>.2乙方应保证履行合同的人员数量和素质、软件和硬件设备的配置、场地、环境和设施等满足全面履行合同的要求，并应接受甲方的监督检查。</w:t>
      </w:r>
    </w:p>
    <w:p w14:paraId="40AC52CB">
      <w:pPr>
        <w:spacing w:line="360" w:lineRule="auto"/>
        <w:ind w:firstLine="437"/>
        <w:outlineLvl w:val="2"/>
        <w:rPr>
          <w:rFonts w:cs="Times New Roman" w:asciiTheme="minorEastAsia" w:hAnsiTheme="minorEastAsia" w:eastAsiaTheme="minorEastAsia"/>
          <w:b/>
          <w:color w:val="auto"/>
          <w:sz w:val="24"/>
          <w:szCs w:val="24"/>
          <w:highlight w:val="none"/>
        </w:rPr>
      </w:pPr>
      <w:bookmarkStart w:id="138" w:name="_Toc22267"/>
      <w:r>
        <w:rPr>
          <w:rFonts w:hint="eastAsia" w:cs="Times New Roman" w:asciiTheme="minorEastAsia" w:hAnsiTheme="minorEastAsia" w:eastAsiaTheme="minorEastAsia"/>
          <w:b/>
          <w:color w:val="auto"/>
          <w:sz w:val="24"/>
          <w:szCs w:val="24"/>
          <w:highlight w:val="none"/>
        </w:rPr>
        <w:t>2.8 延迟履行</w:t>
      </w:r>
      <w:bookmarkEnd w:id="138"/>
    </w:p>
    <w:p w14:paraId="00680CE1">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在合同履行过程中，如果乙方遇到不能按时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的情况，应及时以书面形式将不能按时</w:t>
      </w:r>
      <w:r>
        <w:rPr>
          <w:rFonts w:hint="eastAsia" w:cs="Times New Roman" w:asciiTheme="minorEastAsia" w:hAnsiTheme="minorEastAsia" w:eastAsiaTheme="minorEastAsia"/>
          <w:color w:val="auto"/>
          <w:sz w:val="24"/>
          <w:szCs w:val="24"/>
          <w:highlight w:val="none"/>
        </w:rPr>
        <w:t>提供服务</w:t>
      </w:r>
      <w:r>
        <w:rPr>
          <w:rFonts w:cs="Times New Roman" w:asciiTheme="minorEastAsia" w:hAnsiTheme="minorEastAsia" w:eastAsiaTheme="minorEastAsia"/>
          <w:color w:val="auto"/>
          <w:sz w:val="24"/>
          <w:szCs w:val="24"/>
          <w:highlight w:val="none"/>
        </w:rPr>
        <w:t>的理由、预期延误时间通知甲方</w:t>
      </w:r>
      <w:r>
        <w:rPr>
          <w:rFonts w:hint="eastAsia" w:cs="Times New Roman" w:asciiTheme="minorEastAsia" w:hAnsiTheme="minorEastAsia" w:eastAsiaTheme="minorEastAsia"/>
          <w:color w:val="auto"/>
          <w:sz w:val="24"/>
          <w:szCs w:val="24"/>
          <w:highlight w:val="none"/>
        </w:rPr>
        <w:t>；甲</w:t>
      </w:r>
      <w:r>
        <w:rPr>
          <w:rFonts w:cs="Times New Roman" w:asciiTheme="minorEastAsia" w:hAnsiTheme="minorEastAsia" w:eastAsiaTheme="minorEastAsia"/>
          <w:color w:val="auto"/>
          <w:sz w:val="24"/>
          <w:szCs w:val="24"/>
          <w:highlight w:val="none"/>
        </w:rPr>
        <w:t>方收到乙方通知后，认为其理由正当的，可以书面形式酌情同意乙方可以延长</w:t>
      </w:r>
      <w:r>
        <w:rPr>
          <w:rFonts w:hint="eastAsia" w:cs="Times New Roman" w:asciiTheme="minorEastAsia" w:hAnsiTheme="minorEastAsia" w:eastAsiaTheme="minorEastAsia"/>
          <w:color w:val="auto"/>
          <w:sz w:val="24"/>
          <w:szCs w:val="24"/>
          <w:highlight w:val="none"/>
        </w:rPr>
        <w:t>履行</w:t>
      </w:r>
      <w:r>
        <w:rPr>
          <w:rFonts w:cs="Times New Roman" w:asciiTheme="minorEastAsia" w:hAnsiTheme="minorEastAsia" w:eastAsiaTheme="minorEastAsia"/>
          <w:color w:val="auto"/>
          <w:sz w:val="24"/>
          <w:szCs w:val="24"/>
          <w:highlight w:val="none"/>
        </w:rPr>
        <w:t>的具体时间。</w:t>
      </w:r>
    </w:p>
    <w:p w14:paraId="2127228A">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39" w:name="_Toc7502"/>
      <w:bookmarkStart w:id="140" w:name="_Toc279701254"/>
      <w:bookmarkStart w:id="141" w:name="_Toc487900364"/>
      <w:bookmarkStart w:id="142" w:name="_Toc259093683"/>
      <w:bookmarkStart w:id="143" w:name="_Ref467378121"/>
      <w:r>
        <w:rPr>
          <w:rFonts w:cs="Times New Roman" w:asciiTheme="minorEastAsia" w:hAnsiTheme="minorEastAsia" w:eastAsiaTheme="minorEastAsia"/>
          <w:b/>
          <w:bCs/>
          <w:color w:val="auto"/>
          <w:sz w:val="24"/>
          <w:szCs w:val="24"/>
          <w:highlight w:val="none"/>
          <w:lang w:val="zh-CN"/>
        </w:rPr>
        <w:t>2.9 合同变更</w:t>
      </w:r>
      <w:bookmarkEnd w:id="139"/>
    </w:p>
    <w:p w14:paraId="2A513BE5">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.1双方当事人协商一致，可以签订书面补充合同的形式变更合同，但不得违背采购文件确定的事项；</w:t>
      </w:r>
    </w:p>
    <w:p w14:paraId="5F1F5E6B">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9</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.2合同继续履行将损害国家利益和社会公共利益的，双方当事人应当以书面形式变更合同。有过错的一方应当承担赔偿责任，双方当事人都有过错的，各自承担相应的责任。</w:t>
      </w:r>
      <w:bookmarkStart w:id="144" w:name="_Toc259093688"/>
      <w:bookmarkStart w:id="145" w:name="_Toc279701259"/>
      <w:bookmarkStart w:id="146" w:name="_Toc487900369"/>
    </w:p>
    <w:p w14:paraId="70F0A12B">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47" w:name="_Toc22955"/>
      <w:bookmarkStart w:id="148" w:name="_Toc10366"/>
      <w:bookmarkStart w:id="149" w:name="_Toc15237"/>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0</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合同转让</w:t>
      </w:r>
      <w:bookmarkEnd w:id="144"/>
      <w:bookmarkEnd w:id="145"/>
      <w:bookmarkEnd w:id="146"/>
      <w:r>
        <w:rPr>
          <w:rFonts w:cs="Times New Roman" w:asciiTheme="minorEastAsia" w:hAnsiTheme="minorEastAsia" w:eastAsiaTheme="minorEastAsia"/>
          <w:b/>
          <w:bCs/>
          <w:color w:val="auto"/>
          <w:sz w:val="24"/>
          <w:szCs w:val="24"/>
          <w:highlight w:val="none"/>
          <w:lang w:val="zh-CN"/>
        </w:rPr>
        <w:t>和分包</w:t>
      </w:r>
      <w:bookmarkEnd w:id="147"/>
      <w:bookmarkEnd w:id="148"/>
      <w:bookmarkEnd w:id="149"/>
    </w:p>
    <w:p w14:paraId="1AC3E784">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合同的权利义务依法不</w:t>
      </w:r>
      <w:r>
        <w:rPr>
          <w:rFonts w:hint="eastAsia" w:cs="Times New Roman" w:asciiTheme="minorEastAsia" w:hAnsiTheme="minorEastAsia" w:eastAsiaTheme="minorEastAsia"/>
          <w:color w:val="auto"/>
          <w:sz w:val="24"/>
          <w:szCs w:val="24"/>
          <w:highlight w:val="none"/>
        </w:rPr>
        <w:t>得</w:t>
      </w:r>
      <w:r>
        <w:rPr>
          <w:rFonts w:cs="Times New Roman" w:asciiTheme="minorEastAsia" w:hAnsiTheme="minorEastAsia" w:eastAsiaTheme="minorEastAsia"/>
          <w:color w:val="auto"/>
          <w:sz w:val="24"/>
          <w:szCs w:val="24"/>
          <w:highlight w:val="none"/>
        </w:rPr>
        <w:t>转让</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但经甲方</w:t>
      </w:r>
      <w:r>
        <w:rPr>
          <w:rFonts w:hint="eastAsia" w:cs="Times New Roman" w:asciiTheme="minorEastAsia" w:hAnsiTheme="minorEastAsia" w:eastAsiaTheme="minorEastAsia"/>
          <w:color w:val="auto"/>
          <w:sz w:val="24"/>
          <w:szCs w:val="24"/>
          <w:highlight w:val="none"/>
        </w:rPr>
        <w:t>同意，乙方可以依法采取分包方式履行合同，即：依法可以</w:t>
      </w:r>
      <w:r>
        <w:rPr>
          <w:rFonts w:cs="Times New Roman" w:asciiTheme="minorEastAsia" w:hAnsiTheme="minorEastAsia" w:eastAsiaTheme="minorEastAsia"/>
          <w:color w:val="auto"/>
          <w:sz w:val="24"/>
          <w:szCs w:val="24"/>
          <w:highlight w:val="none"/>
        </w:rPr>
        <w:t>将合同项下的部分非主体、非关键性工作分包给他人完成</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接受分包的人应当具备相应的资格条件，并不得再次分包</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且乙方应就分包项目向甲方负责</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并</w:t>
      </w:r>
      <w:r>
        <w:rPr>
          <w:rFonts w:hint="eastAsia" w:cs="Times New Roman" w:asciiTheme="minorEastAsia" w:hAnsiTheme="minorEastAsia" w:eastAsiaTheme="minorEastAsia"/>
          <w:color w:val="auto"/>
          <w:sz w:val="24"/>
          <w:szCs w:val="24"/>
          <w:highlight w:val="none"/>
        </w:rPr>
        <w:t>与分包供应商就分包项目向甲方承担连带责任。</w:t>
      </w:r>
    </w:p>
    <w:p w14:paraId="3CB7FF1C">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50" w:name="_Toc13566"/>
      <w:bookmarkStart w:id="151" w:name="_Toc14066"/>
      <w:bookmarkStart w:id="152" w:name="_Toc16508"/>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1 不可抗力</w:t>
      </w:r>
      <w:bookmarkEnd w:id="150"/>
      <w:bookmarkEnd w:id="151"/>
      <w:bookmarkEnd w:id="152"/>
    </w:p>
    <w:p w14:paraId="1F685C37">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auto"/>
          <w:sz w:val="24"/>
          <w:szCs w:val="24"/>
          <w:highlight w:val="none"/>
        </w:rPr>
        <w:t>；</w:t>
      </w:r>
    </w:p>
    <w:p w14:paraId="49E2FC95">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.2因不可抗力致使不能实现合同目的的，当事人可以解除合同；</w:t>
      </w:r>
    </w:p>
    <w:p w14:paraId="44B4D871">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.3因</w:t>
      </w:r>
      <w:r>
        <w:rPr>
          <w:rFonts w:cs="Times New Roman" w:asciiTheme="minorEastAsia" w:hAnsiTheme="minorEastAsia" w:eastAsiaTheme="minorEastAsia"/>
          <w:color w:val="auto"/>
          <w:sz w:val="24"/>
          <w:szCs w:val="24"/>
          <w:highlight w:val="none"/>
        </w:rPr>
        <w:t>不可抗力致使合同有变更必要的，双方当事人应在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约定时间内以书面形式变更合同</w:t>
      </w:r>
      <w:r>
        <w:rPr>
          <w:rFonts w:hint="eastAsia" w:cs="Times New Roman" w:asciiTheme="minorEastAsia" w:hAnsiTheme="minorEastAsia" w:eastAsiaTheme="minorEastAsia"/>
          <w:color w:val="auto"/>
          <w:sz w:val="24"/>
          <w:szCs w:val="24"/>
          <w:highlight w:val="none"/>
        </w:rPr>
        <w:t>；</w:t>
      </w:r>
    </w:p>
    <w:p w14:paraId="4409B92B">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4</w:t>
      </w:r>
      <w:r>
        <w:rPr>
          <w:rFonts w:cs="Times New Roman" w:asciiTheme="minorEastAsia" w:hAnsiTheme="minorEastAsia" w:eastAsiaTheme="minorEastAsia"/>
          <w:color w:val="auto"/>
          <w:sz w:val="24"/>
          <w:szCs w:val="24"/>
          <w:highlight w:val="none"/>
        </w:rPr>
        <w:t>受</w:t>
      </w:r>
      <w:r>
        <w:rPr>
          <w:rFonts w:hint="eastAsia" w:cs="Times New Roman" w:asciiTheme="minorEastAsia" w:hAnsiTheme="minorEastAsia" w:eastAsiaTheme="minorEastAsia"/>
          <w:color w:val="auto"/>
          <w:sz w:val="24"/>
          <w:szCs w:val="24"/>
          <w:highlight w:val="none"/>
        </w:rPr>
        <w:t>不可抗力</w:t>
      </w:r>
      <w:r>
        <w:rPr>
          <w:rFonts w:cs="Times New Roman" w:asciiTheme="minorEastAsia" w:hAnsiTheme="minorEastAsia" w:eastAsiaTheme="minorEastAsia"/>
          <w:color w:val="auto"/>
          <w:sz w:val="24"/>
          <w:szCs w:val="24"/>
          <w:highlight w:val="none"/>
        </w:rPr>
        <w:t>影响的一方在不可抗力发生后</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约定时间内以书面形式通知</w:t>
      </w:r>
      <w:r>
        <w:rPr>
          <w:rFonts w:hint="eastAsia" w:cs="Times New Roman" w:asciiTheme="minorEastAsia" w:hAnsiTheme="minorEastAsia" w:eastAsiaTheme="minorEastAsia"/>
          <w:color w:val="auto"/>
          <w:sz w:val="24"/>
          <w:szCs w:val="24"/>
          <w:highlight w:val="none"/>
        </w:rPr>
        <w:t>对</w:t>
      </w:r>
      <w:r>
        <w:rPr>
          <w:rFonts w:cs="Times New Roman" w:asciiTheme="minorEastAsia" w:hAnsiTheme="minorEastAsia" w:eastAsiaTheme="minorEastAsia"/>
          <w:color w:val="auto"/>
          <w:sz w:val="24"/>
          <w:szCs w:val="24"/>
          <w:highlight w:val="none"/>
        </w:rPr>
        <w:t>方当事人，并在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约定时间内，将有关部门出具的证明文件送达</w:t>
      </w:r>
      <w:r>
        <w:rPr>
          <w:rFonts w:hint="eastAsia" w:cs="Times New Roman" w:asciiTheme="minorEastAsia" w:hAnsiTheme="minorEastAsia" w:eastAsiaTheme="minorEastAsia"/>
          <w:color w:val="auto"/>
          <w:sz w:val="24"/>
          <w:szCs w:val="24"/>
          <w:highlight w:val="none"/>
        </w:rPr>
        <w:t>对方当事人</w:t>
      </w:r>
      <w:r>
        <w:rPr>
          <w:rFonts w:cs="Times New Roman" w:asciiTheme="minorEastAsia" w:hAnsiTheme="minorEastAsia" w:eastAsiaTheme="minorEastAsia"/>
          <w:color w:val="auto"/>
          <w:sz w:val="24"/>
          <w:szCs w:val="24"/>
          <w:highlight w:val="none"/>
        </w:rPr>
        <w:t>。</w:t>
      </w:r>
    </w:p>
    <w:p w14:paraId="45FF2C4A">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53" w:name="_Toc6969"/>
      <w:bookmarkStart w:id="154" w:name="_Toc279701255"/>
      <w:bookmarkStart w:id="155" w:name="_Toc259093684"/>
      <w:bookmarkStart w:id="156" w:name="_Toc30676"/>
      <w:bookmarkStart w:id="157" w:name="_Toc689"/>
      <w:bookmarkStart w:id="158" w:name="_Toc487900365"/>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12</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税费</w:t>
      </w:r>
      <w:bookmarkEnd w:id="153"/>
      <w:bookmarkEnd w:id="154"/>
      <w:bookmarkEnd w:id="155"/>
      <w:bookmarkEnd w:id="156"/>
      <w:bookmarkEnd w:id="157"/>
      <w:bookmarkEnd w:id="158"/>
    </w:p>
    <w:p w14:paraId="2D34D131">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与合同有关的一切税费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均按照中华人民共和国法律的相关规定</w:t>
      </w:r>
      <w:r>
        <w:rPr>
          <w:rFonts w:hint="eastAsia" w:cs="Times New Roman" w:asciiTheme="minorEastAsia" w:hAnsiTheme="minorEastAsia" w:eastAsiaTheme="minorEastAsia"/>
          <w:color w:val="auto"/>
          <w:sz w:val="24"/>
          <w:szCs w:val="24"/>
          <w:highlight w:val="none"/>
        </w:rPr>
        <w:t>缴纳</w:t>
      </w:r>
      <w:r>
        <w:rPr>
          <w:rFonts w:cs="Times New Roman" w:asciiTheme="minorEastAsia" w:hAnsiTheme="minorEastAsia" w:eastAsiaTheme="minorEastAsia"/>
          <w:color w:val="auto"/>
          <w:sz w:val="24"/>
          <w:szCs w:val="24"/>
          <w:highlight w:val="none"/>
        </w:rPr>
        <w:t>。</w:t>
      </w:r>
    </w:p>
    <w:p w14:paraId="4CD1084B">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59" w:name="_Toc279701258"/>
      <w:bookmarkStart w:id="160" w:name="_Toc7102"/>
      <w:bookmarkStart w:id="161" w:name="_Toc487900368"/>
      <w:bookmarkStart w:id="162" w:name="_Toc16959"/>
      <w:bookmarkStart w:id="163" w:name="_Toc8298"/>
      <w:bookmarkStart w:id="164" w:name="_Toc259093687"/>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13</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乙方破产</w:t>
      </w:r>
      <w:bookmarkEnd w:id="159"/>
      <w:bookmarkEnd w:id="160"/>
      <w:bookmarkEnd w:id="161"/>
      <w:bookmarkEnd w:id="162"/>
      <w:bookmarkEnd w:id="163"/>
      <w:bookmarkEnd w:id="164"/>
    </w:p>
    <w:p w14:paraId="51505B79">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auto"/>
          <w:sz w:val="24"/>
          <w:szCs w:val="24"/>
          <w:highlight w:val="none"/>
        </w:rPr>
        <w:t>，但合同的</w:t>
      </w:r>
      <w:r>
        <w:rPr>
          <w:rFonts w:cs="Times New Roman" w:asciiTheme="minorEastAsia" w:hAnsiTheme="minorEastAsia" w:eastAsiaTheme="minorEastAsia"/>
          <w:color w:val="auto"/>
          <w:sz w:val="24"/>
          <w:szCs w:val="24"/>
          <w:highlight w:val="none"/>
        </w:rPr>
        <w:t>终止不损害或不影响甲方已经采取或将要采取的任何要求乙方支付违约金</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赔偿损失等的行动或补救措施的权利</w:t>
      </w:r>
      <w:r>
        <w:rPr>
          <w:rFonts w:hint="eastAsia" w:cs="Times New Roman" w:asciiTheme="minorEastAsia" w:hAnsiTheme="minorEastAsia" w:eastAsiaTheme="minorEastAsia"/>
          <w:color w:val="auto"/>
          <w:sz w:val="24"/>
          <w:szCs w:val="24"/>
          <w:highlight w:val="none"/>
        </w:rPr>
        <w:t>。</w:t>
      </w:r>
    </w:p>
    <w:p w14:paraId="2CCA8065">
      <w:pPr>
        <w:spacing w:line="360" w:lineRule="auto"/>
        <w:ind w:firstLine="437"/>
        <w:outlineLvl w:val="2"/>
        <w:rPr>
          <w:rFonts w:cs="Times New Roman" w:asciiTheme="minorEastAsia" w:hAnsiTheme="minorEastAsia" w:eastAsiaTheme="minorEastAsia"/>
          <w:b/>
          <w:color w:val="auto"/>
          <w:sz w:val="24"/>
          <w:szCs w:val="24"/>
          <w:highlight w:val="none"/>
        </w:rPr>
      </w:pPr>
      <w:bookmarkStart w:id="165" w:name="_Toc29333"/>
      <w:bookmarkStart w:id="166" w:name="_Toc6134"/>
      <w:bookmarkStart w:id="167" w:name="_Toc15387"/>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4</w:t>
      </w:r>
      <w:r>
        <w:rPr>
          <w:rFonts w:hint="eastAsia" w:cs="Times New Roman" w:asciiTheme="minorEastAsia" w:hAnsiTheme="minorEastAsia" w:eastAsiaTheme="minorEastAsia"/>
          <w:b/>
          <w:bCs/>
          <w:color w:val="auto"/>
          <w:sz w:val="24"/>
          <w:szCs w:val="24"/>
          <w:highlight w:val="none"/>
          <w:lang w:val="zh-CN"/>
        </w:rPr>
        <w:t xml:space="preserve"> 合同中止、终止</w:t>
      </w:r>
      <w:bookmarkEnd w:id="165"/>
      <w:bookmarkEnd w:id="166"/>
      <w:bookmarkEnd w:id="167"/>
    </w:p>
    <w:p w14:paraId="23D4403C">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.1双方当事人不得擅自中止或者终止合同；</w:t>
      </w:r>
    </w:p>
    <w:p w14:paraId="1136BEAF">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w:t>
      </w:r>
      <w:r>
        <w:rPr>
          <w:rFonts w:cs="Times New Roman" w:asciiTheme="minorEastAsia" w:hAnsiTheme="minorEastAsia" w:eastAsiaTheme="minorEastAsia"/>
          <w:color w:val="auto"/>
          <w:sz w:val="24"/>
          <w:szCs w:val="24"/>
          <w:highlight w:val="none"/>
        </w:rPr>
        <w:t>4</w:t>
      </w:r>
      <w:r>
        <w:rPr>
          <w:rFonts w:hint="eastAsia" w:cs="Times New Roman" w:asciiTheme="minorEastAsia" w:hAnsiTheme="minorEastAsia" w:eastAsiaTheme="minorEastAsia"/>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61ED0647">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168" w:name="_Toc6596"/>
      <w:bookmarkStart w:id="169" w:name="_Toc14563"/>
      <w:bookmarkStart w:id="170" w:name="_Toc1125"/>
      <w:r>
        <w:rPr>
          <w:rFonts w:hint="eastAsia" w:cs="Times New Roman" w:asciiTheme="minorEastAsia" w:hAnsiTheme="minorEastAsia" w:eastAsiaTheme="minorEastAsia"/>
          <w:b/>
          <w:bCs/>
          <w:color w:val="auto"/>
          <w:sz w:val="24"/>
          <w:szCs w:val="24"/>
          <w:highlight w:val="none"/>
          <w:lang w:val="zh-CN"/>
        </w:rPr>
        <w:t>2.1</w:t>
      </w:r>
      <w:r>
        <w:rPr>
          <w:rFonts w:cs="Times New Roman" w:asciiTheme="minorEastAsia" w:hAnsiTheme="minorEastAsia" w:eastAsiaTheme="minorEastAsia"/>
          <w:b/>
          <w:bCs/>
          <w:color w:val="auto"/>
          <w:sz w:val="24"/>
          <w:szCs w:val="24"/>
          <w:highlight w:val="none"/>
          <w:lang w:val="zh-CN"/>
        </w:rPr>
        <w:t>5</w:t>
      </w:r>
      <w:r>
        <w:rPr>
          <w:rFonts w:hint="eastAsia" w:cs="Times New Roman" w:asciiTheme="minorEastAsia" w:hAnsiTheme="minorEastAsia" w:eastAsiaTheme="minorEastAsia"/>
          <w:b/>
          <w:bCs/>
          <w:color w:val="auto"/>
          <w:sz w:val="24"/>
          <w:szCs w:val="24"/>
          <w:highlight w:val="none"/>
          <w:lang w:val="zh-CN"/>
        </w:rPr>
        <w:t xml:space="preserve"> 检验和验收</w:t>
      </w:r>
      <w:bookmarkEnd w:id="168"/>
      <w:bookmarkEnd w:id="169"/>
      <w:bookmarkEnd w:id="170"/>
    </w:p>
    <w:p w14:paraId="06026C07">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w:t>
      </w:r>
      <w:r>
        <w:rPr>
          <w:rFonts w:hint="eastAsia" w:cs="Times New Roman" w:asciiTheme="minorEastAsia" w:hAnsiTheme="minorEastAsia" w:eastAsiaTheme="minorEastAsia"/>
          <w:color w:val="auto"/>
          <w:sz w:val="24"/>
          <w:szCs w:val="24"/>
          <w:highlight w:val="none"/>
        </w:rPr>
        <w:t>5</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auto"/>
          <w:sz w:val="24"/>
          <w:szCs w:val="24"/>
          <w:highlight w:val="none"/>
        </w:rPr>
        <w:t>1乙方按照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定期提交服务报告</w:t>
      </w:r>
      <w:r>
        <w:rPr>
          <w:rFonts w:hint="eastAsia" w:cs="Times New Roman" w:asciiTheme="minorEastAsia" w:hAnsiTheme="minorEastAsia" w:eastAsiaTheme="minorEastAsia"/>
          <w:color w:val="auto"/>
          <w:sz w:val="24"/>
          <w:szCs w:val="24"/>
          <w:highlight w:val="none"/>
        </w:rPr>
        <w:t>，甲方按照</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的约定进行定期验收</w:t>
      </w:r>
      <w:r>
        <w:rPr>
          <w:rFonts w:hint="eastAsia" w:cs="Times New Roman" w:asciiTheme="minorEastAsia" w:hAnsiTheme="minorEastAsia" w:eastAsiaTheme="minorEastAsia"/>
          <w:color w:val="auto"/>
          <w:sz w:val="24"/>
          <w:szCs w:val="24"/>
          <w:highlight w:val="none"/>
        </w:rPr>
        <w:t>；</w:t>
      </w:r>
    </w:p>
    <w:p w14:paraId="31BF844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EEAF1C8">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2.15.3检验和验收标准、程序等具体内容以及前述验收书的效力详见</w:t>
      </w:r>
      <w:r>
        <w:rPr>
          <w:rFonts w:cs="Times New Roman" w:asciiTheme="minorEastAsia" w:hAnsiTheme="minorEastAsia" w:eastAsiaTheme="minorEastAsia"/>
          <w:b/>
          <w:i/>
          <w:color w:val="auto"/>
          <w:sz w:val="24"/>
          <w:szCs w:val="24"/>
          <w:highlight w:val="none"/>
          <w:u w:val="single"/>
        </w:rPr>
        <w:t>合同专用条款</w:t>
      </w:r>
      <w:r>
        <w:rPr>
          <w:rFonts w:hint="eastAsia" w:cs="Times New Roman" w:asciiTheme="minorEastAsia" w:hAnsiTheme="minorEastAsia" w:eastAsiaTheme="minorEastAsia"/>
          <w:i/>
          <w:color w:val="auto"/>
          <w:sz w:val="24"/>
          <w:szCs w:val="24"/>
          <w:highlight w:val="none"/>
        </w:rPr>
        <w:t>。</w:t>
      </w:r>
    </w:p>
    <w:bookmarkEnd w:id="140"/>
    <w:bookmarkEnd w:id="141"/>
    <w:bookmarkEnd w:id="142"/>
    <w:bookmarkEnd w:id="143"/>
    <w:p w14:paraId="12D31742">
      <w:pPr>
        <w:spacing w:line="360" w:lineRule="auto"/>
        <w:ind w:firstLine="437"/>
        <w:outlineLvl w:val="2"/>
        <w:rPr>
          <w:rFonts w:cs="Times New Roman" w:asciiTheme="minorEastAsia" w:hAnsiTheme="minorEastAsia" w:eastAsiaTheme="minorEastAsia"/>
          <w:b/>
          <w:bCs/>
          <w:color w:val="auto"/>
          <w:sz w:val="24"/>
          <w:szCs w:val="24"/>
          <w:highlight w:val="none"/>
        </w:rPr>
      </w:pPr>
      <w:bookmarkStart w:id="171" w:name="_Toc487900373"/>
      <w:bookmarkStart w:id="172" w:name="_Toc12773"/>
      <w:bookmarkStart w:id="173" w:name="_Toc259093692"/>
      <w:bookmarkStart w:id="174" w:name="_Toc10330"/>
      <w:bookmarkStart w:id="175" w:name="_Toc18567"/>
      <w:bookmarkStart w:id="176" w:name="_Toc279701263"/>
      <w:r>
        <w:rPr>
          <w:rFonts w:hint="eastAsia" w:cs="Times New Roman" w:asciiTheme="minorEastAsia" w:hAnsiTheme="minorEastAsia" w:eastAsiaTheme="minorEastAsia"/>
          <w:b/>
          <w:bCs/>
          <w:color w:val="auto"/>
          <w:sz w:val="24"/>
          <w:szCs w:val="24"/>
          <w:highlight w:val="none"/>
        </w:rPr>
        <w:t>2.</w:t>
      </w:r>
      <w:r>
        <w:rPr>
          <w:rFonts w:cs="Times New Roman" w:asciiTheme="minorEastAsia" w:hAnsiTheme="minorEastAsia" w:eastAsiaTheme="minorEastAsia"/>
          <w:b/>
          <w:bCs/>
          <w:color w:val="auto"/>
          <w:sz w:val="24"/>
          <w:szCs w:val="24"/>
          <w:highlight w:val="none"/>
        </w:rPr>
        <w:t>16</w:t>
      </w:r>
      <w:r>
        <w:rPr>
          <w:rFonts w:hint="eastAsia" w:cs="Times New Roman" w:asciiTheme="minorEastAsia" w:hAnsiTheme="minorEastAsia" w:eastAsiaTheme="minorEastAsia"/>
          <w:b/>
          <w:bCs/>
          <w:color w:val="auto"/>
          <w:sz w:val="24"/>
          <w:szCs w:val="24"/>
          <w:highlight w:val="none"/>
        </w:rPr>
        <w:t xml:space="preserve"> </w:t>
      </w:r>
      <w:r>
        <w:rPr>
          <w:rFonts w:hint="eastAsia" w:cs="Times New Roman" w:asciiTheme="minorEastAsia" w:hAnsiTheme="minorEastAsia" w:eastAsiaTheme="minorEastAsia"/>
          <w:b/>
          <w:bCs/>
          <w:color w:val="auto"/>
          <w:sz w:val="24"/>
          <w:szCs w:val="24"/>
          <w:highlight w:val="none"/>
          <w:lang w:val="zh-CN"/>
        </w:rPr>
        <w:t>合同使用的文字和</w:t>
      </w:r>
      <w:r>
        <w:rPr>
          <w:rFonts w:cs="Times New Roman" w:asciiTheme="minorEastAsia" w:hAnsiTheme="minorEastAsia" w:eastAsiaTheme="minorEastAsia"/>
          <w:b/>
          <w:bCs/>
          <w:color w:val="auto"/>
          <w:sz w:val="24"/>
          <w:szCs w:val="24"/>
          <w:highlight w:val="none"/>
          <w:lang w:val="zh-CN"/>
        </w:rPr>
        <w:t>适用的法律</w:t>
      </w:r>
      <w:bookmarkEnd w:id="171"/>
      <w:bookmarkEnd w:id="172"/>
      <w:bookmarkEnd w:id="173"/>
      <w:bookmarkEnd w:id="174"/>
      <w:bookmarkEnd w:id="175"/>
      <w:bookmarkEnd w:id="176"/>
    </w:p>
    <w:p w14:paraId="0EDF0F79">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16.1合同使用汉语书就</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变更和解释</w:t>
      </w:r>
      <w:r>
        <w:rPr>
          <w:rFonts w:hint="eastAsia" w:cs="Times New Roman" w:asciiTheme="minorEastAsia" w:hAnsiTheme="minorEastAsia" w:eastAsiaTheme="minorEastAsia"/>
          <w:color w:val="auto"/>
          <w:sz w:val="24"/>
          <w:szCs w:val="24"/>
          <w:highlight w:val="none"/>
        </w:rPr>
        <w:t>；</w:t>
      </w:r>
    </w:p>
    <w:p w14:paraId="5F9CD9C6">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16</w:t>
      </w:r>
      <w:r>
        <w:rPr>
          <w:rFonts w:hint="eastAsia" w:cs="Times New Roman" w:asciiTheme="minorEastAsia" w:hAnsiTheme="minorEastAsia" w:eastAsiaTheme="minorEastAsia"/>
          <w:color w:val="auto"/>
          <w:sz w:val="24"/>
          <w:szCs w:val="24"/>
          <w:highlight w:val="none"/>
        </w:rPr>
        <w:t>.2合同适用</w:t>
      </w:r>
      <w:r>
        <w:rPr>
          <w:rFonts w:cs="Times New Roman" w:asciiTheme="minorEastAsia" w:hAnsiTheme="minorEastAsia" w:eastAsiaTheme="minorEastAsia"/>
          <w:color w:val="auto"/>
          <w:sz w:val="24"/>
          <w:szCs w:val="24"/>
          <w:highlight w:val="none"/>
        </w:rPr>
        <w:t>中华人民共和国法律。</w:t>
      </w:r>
    </w:p>
    <w:p w14:paraId="1A33A8AE">
      <w:pPr>
        <w:spacing w:line="360" w:lineRule="auto"/>
        <w:ind w:firstLine="437"/>
        <w:outlineLvl w:val="2"/>
        <w:rPr>
          <w:rFonts w:cs="Times New Roman" w:asciiTheme="minorEastAsia" w:hAnsiTheme="minorEastAsia" w:eastAsiaTheme="minorEastAsia"/>
          <w:b/>
          <w:color w:val="auto"/>
          <w:sz w:val="24"/>
          <w:szCs w:val="24"/>
          <w:highlight w:val="none"/>
        </w:rPr>
      </w:pPr>
      <w:bookmarkStart w:id="177" w:name="_Toc279701264"/>
      <w:bookmarkStart w:id="178" w:name="_Toc16673"/>
      <w:bookmarkStart w:id="179" w:name="_Toc3148"/>
      <w:bookmarkStart w:id="180" w:name="_Toc259093693"/>
      <w:bookmarkStart w:id="181" w:name="_Toc12004"/>
      <w:bookmarkStart w:id="182" w:name="_Toc487900374"/>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17</w:t>
      </w:r>
      <w:r>
        <w:rPr>
          <w:rFonts w:hint="eastAsia" w:cs="Times New Roman" w:asciiTheme="minorEastAsia" w:hAnsiTheme="minorEastAsia" w:eastAsiaTheme="minorEastAsia"/>
          <w:b/>
          <w:bCs/>
          <w:color w:val="auto"/>
          <w:sz w:val="24"/>
          <w:szCs w:val="24"/>
          <w:highlight w:val="none"/>
          <w:lang w:val="zh-CN"/>
        </w:rPr>
        <w:t xml:space="preserve"> </w:t>
      </w:r>
      <w:r>
        <w:rPr>
          <w:rFonts w:cs="Times New Roman" w:asciiTheme="minorEastAsia" w:hAnsiTheme="minorEastAsia" w:eastAsiaTheme="minorEastAsia"/>
          <w:b/>
          <w:bCs/>
          <w:color w:val="auto"/>
          <w:sz w:val="24"/>
          <w:szCs w:val="24"/>
          <w:highlight w:val="none"/>
          <w:lang w:val="zh-CN"/>
        </w:rPr>
        <w:t>履约保证金</w:t>
      </w:r>
      <w:bookmarkEnd w:id="177"/>
      <w:bookmarkEnd w:id="178"/>
      <w:bookmarkEnd w:id="179"/>
      <w:bookmarkEnd w:id="180"/>
      <w:bookmarkEnd w:id="181"/>
    </w:p>
    <w:p w14:paraId="2513099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.1采购文件要求乙方提交履约保证金的，乙方</w:t>
      </w:r>
      <w:r>
        <w:rPr>
          <w:rFonts w:cs="Times New Roman" w:asciiTheme="minorEastAsia" w:hAnsiTheme="minorEastAsia" w:eastAsiaTheme="minorEastAsia"/>
          <w:color w:val="auto"/>
          <w:sz w:val="24"/>
          <w:szCs w:val="24"/>
          <w:highlight w:val="none"/>
        </w:rPr>
        <w:t>应按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约定的方式</w:t>
      </w:r>
      <w:r>
        <w:rPr>
          <w:rFonts w:hint="eastAsia" w:cs="Times New Roman" w:asciiTheme="minorEastAsia" w:hAnsiTheme="minorEastAsia" w:eastAsiaTheme="minorEastAsia"/>
          <w:color w:val="auto"/>
          <w:sz w:val="24"/>
          <w:szCs w:val="24"/>
          <w:highlight w:val="none"/>
        </w:rPr>
        <w:t>，以支票、汇票、本票或者金融机构、担保机构出具的保函等非现金形式提交；</w:t>
      </w:r>
    </w:p>
    <w:p w14:paraId="3DFC6EF9">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17.2履约保证金在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甲方</w:t>
      </w:r>
      <w:r>
        <w:rPr>
          <w:rFonts w:hint="eastAsia" w:cs="Times New Roman" w:asciiTheme="minorEastAsia" w:hAnsiTheme="minorEastAsia" w:eastAsiaTheme="minorEastAsia"/>
          <w:color w:val="auto"/>
          <w:sz w:val="24"/>
          <w:szCs w:val="24"/>
          <w:highlight w:val="none"/>
        </w:rPr>
        <w:t>逾期退还履约保证金</w:t>
      </w:r>
      <w:r>
        <w:rPr>
          <w:rFonts w:hint="eastAsia" w:cs="Times New Roman" w:asciiTheme="minorEastAsia" w:hAnsiTheme="minorEastAsia" w:eastAsiaTheme="minorEastAsia"/>
          <w:color w:val="auto"/>
          <w:sz w:val="24"/>
          <w:szCs w:val="24"/>
          <w:highlight w:val="none"/>
          <w:lang w:val="en-US" w:eastAsia="zh-CN"/>
        </w:rPr>
        <w:t>应承担违约责任。</w:t>
      </w:r>
    </w:p>
    <w:p w14:paraId="69A32080">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2.</w:t>
      </w:r>
      <w:r>
        <w:rPr>
          <w:rFonts w:cs="Times New Roman" w:asciiTheme="minorEastAsia" w:hAnsiTheme="minorEastAsia" w:eastAsiaTheme="minorEastAsia"/>
          <w:color w:val="auto"/>
          <w:sz w:val="24"/>
          <w:szCs w:val="24"/>
          <w:highlight w:val="none"/>
        </w:rPr>
        <w:t>17</w:t>
      </w:r>
      <w:r>
        <w:rPr>
          <w:rFonts w:hint="eastAsia" w:cs="Times New Roman" w:asciiTheme="minorEastAsia" w:hAnsiTheme="minorEastAsia" w:eastAsiaTheme="minorEastAsia"/>
          <w:color w:val="auto"/>
          <w:sz w:val="24"/>
          <w:szCs w:val="24"/>
          <w:highlight w:val="none"/>
        </w:rPr>
        <w:t>.3</w:t>
      </w:r>
      <w:r>
        <w:rPr>
          <w:rFonts w:cs="Times New Roman" w:asciiTheme="minorEastAsia" w:hAnsiTheme="minorEastAsia" w:eastAsiaTheme="minorEastAsia"/>
          <w:color w:val="auto"/>
          <w:sz w:val="24"/>
          <w:szCs w:val="24"/>
          <w:highlight w:val="none"/>
        </w:rPr>
        <w:t>如果乙方不履行合同</w:t>
      </w:r>
      <w:r>
        <w:rPr>
          <w:rFonts w:hint="eastAsia" w:cs="Times New Roman" w:asciiTheme="minorEastAsia" w:hAnsiTheme="minorEastAsia" w:eastAsiaTheme="minorEastAsia"/>
          <w:color w:val="auto"/>
          <w:sz w:val="24"/>
          <w:szCs w:val="24"/>
          <w:highlight w:val="none"/>
        </w:rPr>
        <w:t>，履约保证金不予退还；如果乙方</w:t>
      </w:r>
      <w:r>
        <w:rPr>
          <w:rFonts w:cs="Times New Roman" w:asciiTheme="minorEastAsia" w:hAnsiTheme="minorEastAsia" w:eastAsiaTheme="minorEastAsia"/>
          <w:color w:val="auto"/>
          <w:sz w:val="24"/>
          <w:szCs w:val="24"/>
          <w:highlight w:val="none"/>
        </w:rPr>
        <w:t>未能按合同</w:t>
      </w:r>
      <w:r>
        <w:rPr>
          <w:rFonts w:hint="eastAsia" w:cs="Times New Roman" w:asciiTheme="minorEastAsia" w:hAnsiTheme="minorEastAsia" w:eastAsiaTheme="minorEastAsia"/>
          <w:color w:val="auto"/>
          <w:sz w:val="24"/>
          <w:szCs w:val="24"/>
          <w:highlight w:val="none"/>
        </w:rPr>
        <w:t>约</w:t>
      </w:r>
      <w:r>
        <w:rPr>
          <w:rFonts w:cs="Times New Roman" w:asciiTheme="minorEastAsia" w:hAnsiTheme="minorEastAsia" w:eastAsiaTheme="minorEastAsia"/>
          <w:color w:val="auto"/>
          <w:sz w:val="24"/>
          <w:szCs w:val="24"/>
          <w:highlight w:val="none"/>
        </w:rPr>
        <w:t>定全面履行义务，那么甲方有权从履约保证金中取得补偿或赔偿</w:t>
      </w:r>
      <w:r>
        <w:rPr>
          <w:rFonts w:hint="eastAsia" w:cs="Times New Roman" w:asciiTheme="minorEastAsia" w:hAnsiTheme="minorEastAsia" w:eastAsiaTheme="minorEastAsia"/>
          <w:color w:val="auto"/>
          <w:sz w:val="24"/>
          <w:szCs w:val="24"/>
          <w:highlight w:val="none"/>
        </w:rPr>
        <w:t>，同时不影响甲方要求乙方承担合同约定的超过履约保证金的违约责任的权利。</w:t>
      </w:r>
    </w:p>
    <w:bookmarkEnd w:id="182"/>
    <w:p w14:paraId="5FEC1DC4">
      <w:pPr>
        <w:spacing w:line="360" w:lineRule="auto"/>
        <w:ind w:firstLine="437"/>
        <w:outlineLvl w:val="2"/>
        <w:rPr>
          <w:rFonts w:cs="Times New Roman" w:asciiTheme="minorEastAsia" w:hAnsiTheme="minorEastAsia" w:eastAsiaTheme="minorEastAsia"/>
          <w:b/>
          <w:color w:val="auto"/>
          <w:sz w:val="24"/>
          <w:szCs w:val="24"/>
          <w:highlight w:val="none"/>
        </w:rPr>
      </w:pPr>
      <w:bookmarkStart w:id="183" w:name="_Toc14001"/>
      <w:bookmarkStart w:id="184" w:name="_Toc6885"/>
      <w:bookmarkStart w:id="185" w:name="_Toc19890"/>
      <w:r>
        <w:rPr>
          <w:rFonts w:hint="eastAsia" w:cs="Times New Roman" w:asciiTheme="minorEastAsia" w:hAnsiTheme="minorEastAsia" w:eastAsiaTheme="minorEastAsia"/>
          <w:b/>
          <w:bCs/>
          <w:color w:val="auto"/>
          <w:sz w:val="24"/>
          <w:szCs w:val="24"/>
          <w:highlight w:val="none"/>
          <w:lang w:val="zh-CN"/>
        </w:rPr>
        <w:t>2.</w:t>
      </w:r>
      <w:r>
        <w:rPr>
          <w:rFonts w:cs="Times New Roman" w:asciiTheme="minorEastAsia" w:hAnsiTheme="minorEastAsia" w:eastAsiaTheme="minorEastAsia"/>
          <w:b/>
          <w:bCs/>
          <w:color w:val="auto"/>
          <w:sz w:val="24"/>
          <w:szCs w:val="24"/>
          <w:highlight w:val="none"/>
          <w:lang w:val="zh-CN"/>
        </w:rPr>
        <w:t>18</w:t>
      </w:r>
      <w:r>
        <w:rPr>
          <w:rFonts w:hint="eastAsia" w:cs="Times New Roman" w:asciiTheme="minorEastAsia" w:hAnsiTheme="minorEastAsia" w:eastAsiaTheme="minorEastAsia"/>
          <w:b/>
          <w:bCs/>
          <w:color w:val="auto"/>
          <w:sz w:val="24"/>
          <w:szCs w:val="24"/>
          <w:highlight w:val="none"/>
          <w:lang w:val="zh-CN"/>
        </w:rPr>
        <w:t xml:space="preserve"> 合同份数</w:t>
      </w:r>
      <w:bookmarkEnd w:id="183"/>
      <w:bookmarkEnd w:id="184"/>
      <w:bookmarkEnd w:id="185"/>
    </w:p>
    <w:p w14:paraId="07230084">
      <w:pPr>
        <w:spacing w:line="360" w:lineRule="auto"/>
        <w:ind w:firstLine="435"/>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t>合同份数按</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规定</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每份均具有同等法律效力</w:t>
      </w:r>
      <w:r>
        <w:rPr>
          <w:rFonts w:hint="eastAsia" w:cs="Times New Roman" w:asciiTheme="minorEastAsia" w:hAnsiTheme="minorEastAsia" w:eastAsiaTheme="minorEastAsia"/>
          <w:color w:val="auto"/>
          <w:sz w:val="24"/>
          <w:szCs w:val="24"/>
          <w:highlight w:val="none"/>
        </w:rPr>
        <w:t>。</w:t>
      </w:r>
    </w:p>
    <w:p w14:paraId="12C21766">
      <w:pPr>
        <w:spacing w:line="360" w:lineRule="auto"/>
        <w:jc w:val="center"/>
        <w:outlineLvl w:val="1"/>
        <w:rPr>
          <w:rFonts w:asciiTheme="minorEastAsia" w:hAnsiTheme="minorEastAsia" w:eastAsiaTheme="minorEastAsia"/>
          <w:b/>
          <w:color w:val="auto"/>
          <w:sz w:val="24"/>
          <w:highlight w:val="none"/>
        </w:rPr>
      </w:pPr>
      <w:r>
        <w:rPr>
          <w:rFonts w:cs="Times New Roman" w:asciiTheme="minorEastAsia" w:hAnsiTheme="minorEastAsia" w:eastAsiaTheme="minorEastAsia"/>
          <w:color w:val="auto"/>
          <w:sz w:val="24"/>
          <w:szCs w:val="24"/>
          <w:highlight w:val="none"/>
        </w:rPr>
        <w:br w:type="page"/>
      </w:r>
      <w:bookmarkStart w:id="186" w:name="_Toc3736"/>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186"/>
    </w:p>
    <w:p w14:paraId="75E31449">
      <w:pPr>
        <w:spacing w:line="360" w:lineRule="auto"/>
        <w:ind w:firstLine="435"/>
        <w:rPr>
          <w:rFonts w:cs="Times New Roman"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sz w:val="24"/>
          <w:szCs w:val="24"/>
          <w:highlight w:val="none"/>
        </w:rPr>
        <w:t>本部分</w:t>
      </w:r>
      <w:r>
        <w:rPr>
          <w:rFonts w:cs="Times New Roman" w:asciiTheme="minorEastAsia" w:hAnsiTheme="minorEastAsia" w:eastAsiaTheme="minorEastAsia"/>
          <w:color w:val="auto"/>
          <w:sz w:val="24"/>
          <w:szCs w:val="24"/>
          <w:highlight w:val="none"/>
        </w:rPr>
        <w:t>是对</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部分的补充和修改</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如果</w:t>
      </w:r>
      <w:r>
        <w:rPr>
          <w:rFonts w:hint="eastAsia" w:cs="Times New Roman" w:asciiTheme="minorEastAsia" w:hAnsiTheme="minorEastAsia" w:eastAsiaTheme="minorEastAsia"/>
          <w:color w:val="auto"/>
          <w:sz w:val="24"/>
          <w:szCs w:val="24"/>
          <w:highlight w:val="none"/>
        </w:rPr>
        <w:t>前两</w:t>
      </w:r>
      <w:r>
        <w:rPr>
          <w:rFonts w:cs="Times New Roman" w:asciiTheme="minorEastAsia" w:hAnsiTheme="minorEastAsia" w:eastAsiaTheme="minorEastAsia"/>
          <w:color w:val="auto"/>
          <w:sz w:val="24"/>
          <w:szCs w:val="24"/>
          <w:highlight w:val="none"/>
        </w:rPr>
        <w:t>部分和本部分的约定不一致</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应以本部分的约定为准</w:t>
      </w:r>
      <w:r>
        <w:rPr>
          <w:rFonts w:hint="eastAsia" w:cs="Times New Roman" w:asciiTheme="minorEastAsia" w:hAnsiTheme="minorEastAsia" w:eastAsiaTheme="minorEastAsia"/>
          <w:color w:val="auto"/>
          <w:sz w:val="24"/>
          <w:szCs w:val="24"/>
          <w:highlight w:val="none"/>
        </w:rPr>
        <w:t>。</w:t>
      </w:r>
      <w:r>
        <w:rPr>
          <w:rFonts w:cs="Times New Roman" w:asciiTheme="minorEastAsia" w:hAnsiTheme="minorEastAsia" w:eastAsiaTheme="minorEastAsia"/>
          <w:color w:val="auto"/>
          <w:sz w:val="24"/>
          <w:szCs w:val="24"/>
          <w:highlight w:val="none"/>
        </w:rPr>
        <w:t>本部分的条款号应与</w:t>
      </w:r>
      <w:r>
        <w:rPr>
          <w:rFonts w:hint="eastAsia" w:cs="Times New Roman" w:asciiTheme="minorEastAsia" w:hAnsiTheme="minorEastAsia" w:eastAsiaTheme="minorEastAsia"/>
          <w:color w:val="auto"/>
          <w:sz w:val="24"/>
          <w:szCs w:val="24"/>
          <w:highlight w:val="none"/>
        </w:rPr>
        <w:t>前两部分</w:t>
      </w:r>
      <w:r>
        <w:rPr>
          <w:rFonts w:cs="Times New Roman" w:asciiTheme="minorEastAsia" w:hAnsiTheme="minorEastAsia" w:eastAsiaTheme="minorEastAsia"/>
          <w:color w:val="auto"/>
          <w:sz w:val="24"/>
          <w:szCs w:val="24"/>
          <w:highlight w:val="none"/>
        </w:rPr>
        <w:t>的条款号保持对应</w:t>
      </w:r>
      <w:r>
        <w:rPr>
          <w:rFonts w:hint="eastAsia" w:cs="Times New Roman" w:asciiTheme="minorEastAsia" w:hAnsiTheme="minorEastAsia" w:eastAsiaTheme="minorEastAsia"/>
          <w:color w:val="auto"/>
          <w:sz w:val="24"/>
          <w:szCs w:val="24"/>
          <w:highlight w:val="none"/>
        </w:rPr>
        <w:t>；与前两部分</w:t>
      </w:r>
      <w:r>
        <w:rPr>
          <w:rFonts w:cs="Times New Roman" w:asciiTheme="minorEastAsia" w:hAnsiTheme="minorEastAsia" w:eastAsiaTheme="minorEastAsia"/>
          <w:color w:val="auto"/>
          <w:sz w:val="24"/>
          <w:szCs w:val="24"/>
          <w:highlight w:val="none"/>
        </w:rPr>
        <w:t>无对应关系的内容可另行编制条款号</w:t>
      </w:r>
      <w:r>
        <w:rPr>
          <w:rFonts w:hint="eastAsia" w:cs="Times New Roman" w:asciiTheme="minorEastAsia" w:hAnsiTheme="minorEastAsia" w:eastAsiaTheme="minorEastAsia"/>
          <w:color w:val="auto"/>
          <w:sz w:val="24"/>
          <w:szCs w:val="24"/>
          <w:highlight w:val="none"/>
        </w:rPr>
        <w:t>。</w:t>
      </w:r>
    </w:p>
    <w:tbl>
      <w:tblPr>
        <w:tblStyle w:val="2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5C3A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91096F7">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b/>
                <w:color w:val="auto"/>
                <w:sz w:val="24"/>
                <w:szCs w:val="24"/>
                <w:highlight w:val="none"/>
              </w:rPr>
            </w:pPr>
            <w:r>
              <w:rPr>
                <w:rFonts w:hint="default" w:cs="Times New Roman" w:asciiTheme="minorEastAsia" w:hAnsiTheme="minorEastAsia" w:eastAsiaTheme="minorEastAsia"/>
                <w:b/>
                <w:color w:val="auto"/>
                <w:sz w:val="24"/>
                <w:szCs w:val="24"/>
                <w:highlight w:val="none"/>
              </w:rPr>
              <w:t>条款号</w:t>
            </w:r>
          </w:p>
        </w:tc>
        <w:tc>
          <w:tcPr>
            <w:tcW w:w="7568" w:type="dxa"/>
            <w:vAlign w:val="center"/>
          </w:tcPr>
          <w:p w14:paraId="42A3196D">
            <w:pPr>
              <w:keepNext w:val="0"/>
              <w:keepLines w:val="0"/>
              <w:suppressLineNumbers w:val="0"/>
              <w:spacing w:before="0" w:beforeAutospacing="0" w:after="0" w:afterAutospacing="0"/>
              <w:ind w:left="0" w:right="0"/>
              <w:jc w:val="center"/>
              <w:rPr>
                <w:rFonts w:hint="default" w:cs="Times New Roman" w:asciiTheme="minorEastAsia" w:hAnsiTheme="minorEastAsia" w:eastAsiaTheme="minorEastAsia"/>
                <w:b/>
                <w:color w:val="auto"/>
                <w:sz w:val="24"/>
                <w:szCs w:val="24"/>
                <w:highlight w:val="none"/>
              </w:rPr>
            </w:pPr>
            <w:r>
              <w:rPr>
                <w:rFonts w:hint="default" w:cs="Times New Roman" w:asciiTheme="minorEastAsia" w:hAnsiTheme="minorEastAsia" w:eastAsiaTheme="minorEastAsia"/>
                <w:b/>
                <w:color w:val="auto"/>
                <w:sz w:val="24"/>
                <w:szCs w:val="24"/>
                <w:highlight w:val="none"/>
              </w:rPr>
              <w:t>约定内容</w:t>
            </w:r>
          </w:p>
        </w:tc>
      </w:tr>
      <w:tr w14:paraId="3B40A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23F8BE7">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74FBF3B8">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6A4E5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ED8FC2A">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57CE83B2">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1777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7DFAE22">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5B85E9D1">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3D42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E2CC39">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320A67FF">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57D8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20449E8">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735AEC6F">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u w:val="single"/>
              </w:rPr>
            </w:pPr>
          </w:p>
        </w:tc>
      </w:tr>
      <w:tr w14:paraId="58F5F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710F2B0">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2C2D08B3">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0CF2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6817A3C">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6A32A0AC">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u w:val="single"/>
              </w:rPr>
            </w:pPr>
          </w:p>
        </w:tc>
      </w:tr>
      <w:tr w14:paraId="75E6C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183C064">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6CCC7DF9">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05C2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FFFF144">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65BD7EC4">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2008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CC894D7">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vAlign w:val="center"/>
          </w:tcPr>
          <w:p w14:paraId="08356AF2">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6F29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7C0319A6">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1D060735">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r w14:paraId="182BA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D8D2D7F">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2D44239E">
            <w:pPr>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color w:val="auto"/>
                <w:sz w:val="24"/>
                <w:szCs w:val="24"/>
                <w:highlight w:val="none"/>
              </w:rPr>
            </w:pPr>
          </w:p>
        </w:tc>
      </w:tr>
    </w:tbl>
    <w:p w14:paraId="3961BFF7">
      <w:pPr>
        <w:spacing w:line="360" w:lineRule="auto"/>
        <w:rPr>
          <w:rFonts w:asciiTheme="minorEastAsia" w:hAnsiTheme="minorEastAsia" w:eastAsiaTheme="minorEastAsia"/>
          <w:color w:val="auto"/>
          <w:sz w:val="24"/>
          <w:highlight w:val="none"/>
        </w:rPr>
      </w:pPr>
    </w:p>
    <w:p w14:paraId="2350F1A7">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44"/>
    <w:p w14:paraId="76F988FB">
      <w:pPr>
        <w:spacing w:line="360" w:lineRule="auto"/>
        <w:jc w:val="center"/>
        <w:outlineLvl w:val="0"/>
        <w:rPr>
          <w:rFonts w:asciiTheme="minorEastAsia" w:hAnsiTheme="minorEastAsia" w:eastAsiaTheme="minorEastAsia"/>
          <w:b/>
          <w:color w:val="auto"/>
          <w:sz w:val="28"/>
          <w:highlight w:val="none"/>
        </w:rPr>
      </w:pPr>
      <w:bookmarkStart w:id="187" w:name="_Toc13555"/>
      <w:r>
        <w:rPr>
          <w:rFonts w:hint="eastAsia" w:asciiTheme="minorEastAsia" w:hAnsiTheme="minorEastAsia" w:eastAsiaTheme="minorEastAsia"/>
          <w:b/>
          <w:color w:val="auto"/>
          <w:sz w:val="28"/>
          <w:highlight w:val="none"/>
        </w:rPr>
        <w:t>第六章  投标文件格式</w:t>
      </w:r>
      <w:bookmarkEnd w:id="187"/>
    </w:p>
    <w:p w14:paraId="23568688">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8"/>
          <w:szCs w:val="28"/>
          <w:highlight w:val="none"/>
          <w:lang w:val="en-US" w:eastAsia="zh-CN" w:bidi="ar"/>
        </w:rPr>
      </w:pPr>
      <w:bookmarkStart w:id="188" w:name="_Toc17986"/>
      <w:bookmarkStart w:id="189" w:name="_Toc28960"/>
    </w:p>
    <w:p w14:paraId="0B02726C">
      <w:pPr>
        <w:keepNext w:val="0"/>
        <w:keepLines w:val="0"/>
        <w:widowControl w:val="0"/>
        <w:suppressLineNumbers w:val="0"/>
        <w:spacing w:before="0" w:beforeAutospacing="0" w:after="0" w:afterAutospacing="0"/>
        <w:ind w:left="0" w:right="0"/>
        <w:jc w:val="right"/>
        <w:rPr>
          <w:rFonts w:hint="eastAsia" w:ascii="宋体" w:hAnsi="Times New Roman"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注明正本或副本</w:t>
      </w:r>
    </w:p>
    <w:p w14:paraId="2396AEC6">
      <w:pPr>
        <w:keepNext w:val="0"/>
        <w:keepLines w:val="0"/>
        <w:widowControl w:val="0"/>
        <w:suppressLineNumbers w:val="0"/>
        <w:spacing w:before="0" w:beforeAutospacing="0" w:after="0" w:afterAutospacing="0"/>
        <w:ind w:left="0" w:right="0"/>
        <w:jc w:val="center"/>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5F5BF10E">
      <w:pPr>
        <w:keepNext w:val="0"/>
        <w:keepLines w:val="0"/>
        <w:widowControl w:val="0"/>
        <w:suppressLineNumbers w:val="0"/>
        <w:spacing w:before="0" w:beforeAutospacing="0" w:after="0" w:afterAutospacing="0"/>
        <w:ind w:left="0" w:right="0"/>
        <w:jc w:val="both"/>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72DA934A">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宋体" w:eastAsia="宋体" w:cs="Times New Roman"/>
          <w:b/>
          <w:bCs w:val="0"/>
          <w:color w:val="auto"/>
          <w:kern w:val="2"/>
          <w:sz w:val="44"/>
          <w:szCs w:val="44"/>
          <w:highlight w:val="none"/>
          <w:lang w:val="en-US" w:eastAsia="zh-CN" w:bidi="ar"/>
        </w:rPr>
        <w:t xml:space="preserve"> </w:t>
      </w:r>
      <w:r>
        <w:rPr>
          <w:rFonts w:hint="eastAsia" w:ascii="宋体" w:hAnsi="宋体" w:eastAsia="宋体" w:cs="宋体"/>
          <w:b/>
          <w:bCs w:val="0"/>
          <w:color w:val="auto"/>
          <w:kern w:val="2"/>
          <w:sz w:val="44"/>
          <w:szCs w:val="44"/>
          <w:highlight w:val="none"/>
          <w:lang w:val="en-US" w:eastAsia="zh-CN" w:bidi="ar"/>
        </w:rPr>
        <w:t>资格证明文件</w:t>
      </w:r>
    </w:p>
    <w:p w14:paraId="7928FD50">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1EDFC02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44"/>
          <w:szCs w:val="44"/>
          <w:highlight w:val="none"/>
        </w:rPr>
      </w:pPr>
      <w:r>
        <w:rPr>
          <w:rFonts w:hint="eastAsia" w:ascii="宋体" w:hAnsi="宋体" w:eastAsia="宋体" w:cs="Times New Roman"/>
          <w:color w:val="auto"/>
          <w:kern w:val="2"/>
          <w:sz w:val="44"/>
          <w:szCs w:val="44"/>
          <w:highlight w:val="none"/>
          <w:lang w:val="en-US" w:eastAsia="zh-CN" w:bidi="ar"/>
        </w:rPr>
        <w:t xml:space="preserve"> </w:t>
      </w:r>
    </w:p>
    <w:p w14:paraId="3BAA7695">
      <w:pPr>
        <w:keepNext w:val="0"/>
        <w:keepLines w:val="0"/>
        <w:widowControl w:val="0"/>
        <w:suppressLineNumbers w:val="0"/>
        <w:spacing w:before="0" w:beforeAutospacing="0" w:after="0" w:afterAutospacing="0"/>
        <w:ind w:right="0" w:firstLine="3520" w:firstLineChars="1100"/>
        <w:jc w:val="both"/>
        <w:rPr>
          <w:rFonts w:hint="eastAsia" w:ascii="宋体" w:hAnsi="宋体"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项目名称：</w:t>
      </w:r>
      <w:r>
        <w:rPr>
          <w:rFonts w:hint="eastAsia" w:ascii="宋体" w:hAnsi="宋体" w:eastAsia="宋体" w:cs="Times New Roman"/>
          <w:color w:val="auto"/>
          <w:kern w:val="2"/>
          <w:sz w:val="32"/>
          <w:szCs w:val="32"/>
          <w:highlight w:val="none"/>
          <w:u w:val="single"/>
          <w:lang w:val="en-US" w:eastAsia="zh-CN" w:bidi="ar"/>
        </w:rPr>
        <w:t xml:space="preserve">    </w:t>
      </w:r>
    </w:p>
    <w:p w14:paraId="5303C1D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10E46D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r>
        <w:rPr>
          <w:rFonts w:hint="eastAsia" w:ascii="宋体" w:hAnsi="宋体" w:eastAsia="宋体" w:cs="Times New Roman"/>
          <w:color w:val="auto"/>
          <w:kern w:val="2"/>
          <w:sz w:val="28"/>
          <w:szCs w:val="28"/>
          <w:highlight w:val="none"/>
          <w:lang w:val="en-US" w:eastAsia="zh-CN" w:bidi="ar"/>
        </w:rPr>
        <w:t xml:space="preserve"> </w:t>
      </w:r>
    </w:p>
    <w:p w14:paraId="2252B45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2BD4CD4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597662F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0BDC105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4E57520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C0A21B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DCF927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1063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831E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97DE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3BB25E46">
      <w:pPr>
        <w:keepNext w:val="0"/>
        <w:keepLines w:val="0"/>
        <w:widowControl w:val="0"/>
        <w:suppressLineNumbers w:val="0"/>
        <w:spacing w:before="0" w:beforeAutospacing="0" w:after="0" w:afterAutospacing="0" w:line="720" w:lineRule="auto"/>
        <w:ind w:left="0" w:right="0"/>
        <w:jc w:val="center"/>
        <w:rPr>
          <w:rFonts w:hint="eastAsia" w:ascii="宋体" w:hAnsi="Times New Roman" w:eastAsia="宋体" w:cs="Times New Roman"/>
          <w:b/>
          <w:bCs w:val="0"/>
          <w:color w:val="auto"/>
          <w:kern w:val="2"/>
          <w:sz w:val="36"/>
          <w:szCs w:val="36"/>
          <w:highlight w:val="none"/>
        </w:rPr>
      </w:pPr>
      <w:r>
        <w:rPr>
          <w:rFonts w:hint="eastAsia" w:ascii="宋体" w:hAnsi="Times New Roman" w:eastAsia="宋体" w:cs="Times New Roman"/>
          <w:b/>
          <w:bCs w:val="0"/>
          <w:color w:val="auto"/>
          <w:kern w:val="2"/>
          <w:sz w:val="36"/>
          <w:szCs w:val="36"/>
          <w:highlight w:val="none"/>
          <w:lang w:val="en-US" w:eastAsia="zh-CN" w:bidi="ar"/>
        </w:rPr>
        <w:t xml:space="preserve"> </w:t>
      </w:r>
    </w:p>
    <w:p w14:paraId="3FE61CBE">
      <w:pPr>
        <w:pStyle w:val="64"/>
        <w:widowControl/>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 xml:space="preserve"> </w:t>
      </w:r>
    </w:p>
    <w:p w14:paraId="4CA8BD00">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w:t>
      </w:r>
      <w:r>
        <w:rPr>
          <w:rFonts w:hint="eastAsia" w:ascii="Times New Roman" w:hAnsi="Times New Roman" w:eastAsia="宋体" w:cs="Times New Roman"/>
          <w:b/>
          <w:bCs w:val="0"/>
          <w:color w:val="auto"/>
          <w:kern w:val="2"/>
          <w:sz w:val="36"/>
          <w:szCs w:val="36"/>
          <w:highlight w:val="none"/>
          <w:lang w:val="en-US" w:eastAsia="zh-CN" w:bidi="ar"/>
        </w:rPr>
        <w:t xml:space="preserve">   </w:t>
      </w:r>
      <w:r>
        <w:rPr>
          <w:rFonts w:hint="eastAsia" w:ascii="宋体" w:hAnsi="宋体" w:eastAsia="宋体" w:cs="宋体"/>
          <w:b/>
          <w:bCs w:val="0"/>
          <w:color w:val="auto"/>
          <w:kern w:val="2"/>
          <w:sz w:val="36"/>
          <w:szCs w:val="36"/>
          <w:highlight w:val="none"/>
          <w:lang w:val="en-US" w:eastAsia="zh-CN" w:bidi="ar"/>
        </w:rPr>
        <w:t>录</w:t>
      </w:r>
    </w:p>
    <w:p w14:paraId="214FF98F">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7CB13F61">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（1）投标人资格声明书（格式见附件）；                                                                                                                                                                                                                                                                                                                                                                                                                                                                                                                                                                                                                                                                                                                                                                                                                                                                                                                                                                                                                                                                                                                                                                                                                                                                                                                                                                                                                                                                                                                                                                                             </w:t>
      </w:r>
    </w:p>
    <w:p w14:paraId="36D96805">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（2）授权书（格式见附件）；</w:t>
      </w:r>
    </w:p>
    <w:p w14:paraId="4D78645A">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（3）投标人提供的有效营业执照；</w:t>
      </w:r>
    </w:p>
    <w:p w14:paraId="1EAEB70D">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（4）诚信投标承诺书（格式见附件）；</w:t>
      </w:r>
    </w:p>
    <w:p w14:paraId="2FB125D8">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（5）招标文件中要求的资信评审和资信评分的支持资料；</w:t>
      </w:r>
    </w:p>
    <w:p w14:paraId="3A05AB2F">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（6）投标人认为需要提供的其他资信证明材料；</w:t>
      </w:r>
    </w:p>
    <w:p w14:paraId="0684EA24">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（7）其他（如有）。</w:t>
      </w:r>
    </w:p>
    <w:p w14:paraId="3EF15653">
      <w:pPr>
        <w:keepNext w:val="0"/>
        <w:keepLines w:val="0"/>
        <w:widowControl w:val="0"/>
        <w:suppressLineNumbers w:val="0"/>
        <w:spacing w:before="0" w:beforeAutospacing="0" w:after="0" w:afterAutospacing="0" w:line="360" w:lineRule="auto"/>
        <w:ind w:left="0" w:right="0" w:firstLine="527" w:firstLineChars="250"/>
        <w:jc w:val="both"/>
        <w:rPr>
          <w:rFonts w:hint="eastAsia" w:ascii="Times New Roman" w:hAnsi="Times New Roman" w:eastAsia="宋体" w:cs="Times New Roman"/>
          <w:b/>
          <w:bCs w:val="0"/>
          <w:color w:val="auto"/>
          <w:kern w:val="2"/>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
        </w:rPr>
        <w:t xml:space="preserve"> </w:t>
      </w:r>
    </w:p>
    <w:p w14:paraId="5E85ED53">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5C71DE99">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0BB0B9B0">
      <w:pPr>
        <w:spacing w:line="360" w:lineRule="auto"/>
        <w:jc w:val="center"/>
        <w:outlineLvl w:val="1"/>
        <w:rPr>
          <w:rFonts w:hint="eastAsia" w:asciiTheme="minorEastAsia" w:hAnsiTheme="minorEastAsia" w:eastAsiaTheme="minorEastAsia"/>
          <w:b/>
          <w:color w:val="auto"/>
          <w:sz w:val="24"/>
          <w:highlight w:val="none"/>
        </w:rPr>
      </w:pPr>
    </w:p>
    <w:p w14:paraId="4AB9CF14">
      <w:pPr>
        <w:spacing w:line="360" w:lineRule="auto"/>
        <w:jc w:val="center"/>
        <w:outlineLvl w:val="1"/>
        <w:rPr>
          <w:rFonts w:hint="eastAsia" w:asciiTheme="minorEastAsia" w:hAnsiTheme="minorEastAsia" w:eastAsiaTheme="minorEastAsia"/>
          <w:b/>
          <w:color w:val="auto"/>
          <w:sz w:val="24"/>
          <w:highlight w:val="none"/>
        </w:rPr>
      </w:pPr>
    </w:p>
    <w:p w14:paraId="42D01F39">
      <w:pPr>
        <w:spacing w:line="360" w:lineRule="auto"/>
        <w:jc w:val="center"/>
        <w:outlineLvl w:val="1"/>
        <w:rPr>
          <w:rFonts w:hint="eastAsia" w:asciiTheme="minorEastAsia" w:hAnsiTheme="minorEastAsia" w:eastAsiaTheme="minorEastAsia"/>
          <w:b/>
          <w:color w:val="auto"/>
          <w:sz w:val="24"/>
          <w:highlight w:val="none"/>
        </w:rPr>
      </w:pPr>
    </w:p>
    <w:p w14:paraId="45225977">
      <w:pPr>
        <w:spacing w:line="360" w:lineRule="auto"/>
        <w:jc w:val="center"/>
        <w:outlineLvl w:val="1"/>
        <w:rPr>
          <w:rFonts w:hint="eastAsia" w:asciiTheme="minorEastAsia" w:hAnsiTheme="minorEastAsia" w:eastAsiaTheme="minorEastAsia"/>
          <w:b/>
          <w:color w:val="auto"/>
          <w:sz w:val="24"/>
          <w:highlight w:val="none"/>
        </w:rPr>
      </w:pPr>
    </w:p>
    <w:p w14:paraId="5F162375">
      <w:pPr>
        <w:spacing w:line="360" w:lineRule="auto"/>
        <w:jc w:val="center"/>
        <w:outlineLvl w:val="1"/>
        <w:rPr>
          <w:rFonts w:hint="eastAsia" w:asciiTheme="minorEastAsia" w:hAnsiTheme="minorEastAsia" w:eastAsiaTheme="minorEastAsia"/>
          <w:b/>
          <w:color w:val="auto"/>
          <w:sz w:val="24"/>
          <w:highlight w:val="none"/>
        </w:rPr>
      </w:pPr>
    </w:p>
    <w:p w14:paraId="59B879BF">
      <w:pPr>
        <w:spacing w:line="360" w:lineRule="auto"/>
        <w:jc w:val="center"/>
        <w:outlineLvl w:val="1"/>
        <w:rPr>
          <w:rFonts w:hint="eastAsia" w:asciiTheme="minorEastAsia" w:hAnsiTheme="minorEastAsia" w:eastAsiaTheme="minorEastAsia"/>
          <w:b/>
          <w:color w:val="auto"/>
          <w:sz w:val="24"/>
          <w:highlight w:val="none"/>
        </w:rPr>
      </w:pPr>
    </w:p>
    <w:p w14:paraId="325C1FDC">
      <w:pPr>
        <w:spacing w:line="360" w:lineRule="auto"/>
        <w:jc w:val="center"/>
        <w:outlineLvl w:val="1"/>
        <w:rPr>
          <w:rFonts w:hint="eastAsia" w:asciiTheme="minorEastAsia" w:hAnsiTheme="minorEastAsia" w:eastAsiaTheme="minorEastAsia"/>
          <w:b/>
          <w:color w:val="auto"/>
          <w:sz w:val="24"/>
          <w:highlight w:val="none"/>
        </w:rPr>
      </w:pPr>
    </w:p>
    <w:p w14:paraId="0C221F7C">
      <w:pPr>
        <w:spacing w:line="360" w:lineRule="auto"/>
        <w:jc w:val="center"/>
        <w:outlineLvl w:val="1"/>
        <w:rPr>
          <w:rFonts w:hint="eastAsia" w:asciiTheme="minorEastAsia" w:hAnsiTheme="minorEastAsia" w:eastAsiaTheme="minorEastAsia"/>
          <w:b/>
          <w:color w:val="auto"/>
          <w:sz w:val="24"/>
          <w:highlight w:val="none"/>
        </w:rPr>
      </w:pPr>
    </w:p>
    <w:p w14:paraId="541EF9E4">
      <w:pPr>
        <w:spacing w:line="360" w:lineRule="auto"/>
        <w:jc w:val="center"/>
        <w:outlineLvl w:val="1"/>
        <w:rPr>
          <w:rFonts w:hint="eastAsia" w:asciiTheme="minorEastAsia" w:hAnsiTheme="minorEastAsia" w:eastAsiaTheme="minorEastAsia"/>
          <w:b/>
          <w:color w:val="auto"/>
          <w:sz w:val="24"/>
          <w:highlight w:val="none"/>
        </w:rPr>
      </w:pPr>
    </w:p>
    <w:p w14:paraId="048181F3">
      <w:pPr>
        <w:spacing w:line="360" w:lineRule="auto"/>
        <w:jc w:val="center"/>
        <w:outlineLvl w:val="1"/>
        <w:rPr>
          <w:rFonts w:hint="eastAsia" w:asciiTheme="minorEastAsia" w:hAnsiTheme="minorEastAsia" w:eastAsiaTheme="minorEastAsia"/>
          <w:b/>
          <w:color w:val="auto"/>
          <w:sz w:val="24"/>
          <w:highlight w:val="none"/>
        </w:rPr>
      </w:pPr>
    </w:p>
    <w:p w14:paraId="7466636F">
      <w:pPr>
        <w:spacing w:line="360" w:lineRule="auto"/>
        <w:jc w:val="center"/>
        <w:outlineLvl w:val="1"/>
        <w:rPr>
          <w:rFonts w:hint="eastAsia" w:asciiTheme="minorEastAsia" w:hAnsiTheme="minorEastAsia" w:eastAsiaTheme="minorEastAsia"/>
          <w:b/>
          <w:color w:val="auto"/>
          <w:sz w:val="24"/>
          <w:highlight w:val="none"/>
        </w:rPr>
      </w:pPr>
    </w:p>
    <w:p w14:paraId="778A4918">
      <w:pPr>
        <w:spacing w:line="360" w:lineRule="auto"/>
        <w:jc w:val="center"/>
        <w:outlineLvl w:val="1"/>
        <w:rPr>
          <w:rFonts w:hint="eastAsia" w:asciiTheme="minorEastAsia" w:hAnsiTheme="minorEastAsia" w:eastAsiaTheme="minorEastAsia"/>
          <w:b/>
          <w:color w:val="auto"/>
          <w:sz w:val="24"/>
          <w:highlight w:val="none"/>
        </w:rPr>
      </w:pPr>
    </w:p>
    <w:p w14:paraId="02D4B331">
      <w:pPr>
        <w:spacing w:line="360" w:lineRule="auto"/>
        <w:jc w:val="center"/>
        <w:outlineLvl w:val="1"/>
        <w:rPr>
          <w:rFonts w:hint="eastAsia" w:asciiTheme="minorEastAsia" w:hAnsiTheme="minorEastAsia" w:eastAsiaTheme="minorEastAsia"/>
          <w:b/>
          <w:color w:val="auto"/>
          <w:sz w:val="24"/>
          <w:highlight w:val="none"/>
        </w:rPr>
      </w:pPr>
    </w:p>
    <w:p w14:paraId="494CE88E">
      <w:pPr>
        <w:spacing w:line="360" w:lineRule="auto"/>
        <w:jc w:val="center"/>
        <w:outlineLvl w:val="1"/>
        <w:rPr>
          <w:rFonts w:hint="eastAsia" w:asciiTheme="minorEastAsia" w:hAnsiTheme="minorEastAsia" w:eastAsiaTheme="minorEastAsia"/>
          <w:b/>
          <w:color w:val="auto"/>
          <w:sz w:val="24"/>
          <w:highlight w:val="none"/>
        </w:rPr>
      </w:pPr>
    </w:p>
    <w:p w14:paraId="6831ABD2">
      <w:pPr>
        <w:spacing w:line="360" w:lineRule="auto"/>
        <w:jc w:val="center"/>
        <w:outlineLvl w:val="1"/>
        <w:rPr>
          <w:rFonts w:hint="eastAsia" w:asciiTheme="minorEastAsia" w:hAnsiTheme="minorEastAsia" w:eastAsiaTheme="minorEastAsia"/>
          <w:b/>
          <w:color w:val="auto"/>
          <w:sz w:val="24"/>
          <w:highlight w:val="none"/>
        </w:rPr>
      </w:pPr>
    </w:p>
    <w:p w14:paraId="34F822D8">
      <w:pPr>
        <w:spacing w:line="360" w:lineRule="auto"/>
        <w:jc w:val="center"/>
        <w:outlineLvl w:val="1"/>
        <w:rPr>
          <w:rFonts w:hint="eastAsia" w:asciiTheme="minorEastAsia" w:hAnsiTheme="minorEastAsia" w:eastAsiaTheme="minorEastAsia"/>
          <w:b/>
          <w:color w:val="auto"/>
          <w:sz w:val="24"/>
          <w:highlight w:val="none"/>
        </w:rPr>
      </w:pPr>
    </w:p>
    <w:p w14:paraId="6BDE127E">
      <w:pPr>
        <w:spacing w:line="360" w:lineRule="auto"/>
        <w:jc w:val="center"/>
        <w:outlineLvl w:val="1"/>
        <w:rPr>
          <w:rFonts w:hint="eastAsia" w:asciiTheme="minorEastAsia" w:hAnsiTheme="minorEastAsia" w:eastAsiaTheme="minorEastAsia"/>
          <w:b/>
          <w:color w:val="auto"/>
          <w:sz w:val="24"/>
          <w:highlight w:val="none"/>
        </w:rPr>
      </w:pPr>
    </w:p>
    <w:p w14:paraId="54EC6CE0">
      <w:pPr>
        <w:spacing w:line="360" w:lineRule="auto"/>
        <w:jc w:val="center"/>
        <w:outlineLvl w:val="1"/>
        <w:rPr>
          <w:rFonts w:hint="eastAsia" w:asciiTheme="minorEastAsia" w:hAnsiTheme="minorEastAsia" w:eastAsiaTheme="minorEastAsia"/>
          <w:b/>
          <w:color w:val="auto"/>
          <w:sz w:val="24"/>
          <w:highlight w:val="none"/>
        </w:rPr>
      </w:pPr>
    </w:p>
    <w:p w14:paraId="3377C0D7">
      <w:pPr>
        <w:spacing w:line="360" w:lineRule="auto"/>
        <w:jc w:val="center"/>
        <w:outlineLvl w:val="1"/>
        <w:rPr>
          <w:rFonts w:hint="eastAsia" w:asciiTheme="minorEastAsia" w:hAnsiTheme="minorEastAsia" w:eastAsiaTheme="minorEastAsia"/>
          <w:b/>
          <w:color w:val="auto"/>
          <w:sz w:val="24"/>
          <w:highlight w:val="none"/>
        </w:rPr>
      </w:pPr>
    </w:p>
    <w:p w14:paraId="05D1079F">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一、投标人资格声明书 </w:t>
      </w:r>
    </w:p>
    <w:p w14:paraId="3F1E0A4C">
      <w:pPr>
        <w:pStyle w:val="15"/>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E7DCD8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B430F5C">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16B1096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0C17042">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FC594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A200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24ABBCE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6B7BD11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88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28A3A">
            <w:pPr>
              <w:keepNext w:val="0"/>
              <w:keepLines w:val="0"/>
              <w:widowControl/>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4A4D7F34">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1A15C735">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438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B887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28AF08D6">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c>
          <w:tcPr>
            <w:tcW w:w="2841" w:type="dxa"/>
          </w:tcPr>
          <w:p w14:paraId="5DF2B7C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r>
      <w:tr w14:paraId="62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1386D">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796E8A4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c>
          <w:tcPr>
            <w:tcW w:w="2841" w:type="dxa"/>
          </w:tcPr>
          <w:p w14:paraId="20BBE072">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r>
    </w:tbl>
    <w:p w14:paraId="6DC948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DEEE928">
      <w:pPr>
        <w:spacing w:line="360" w:lineRule="auto"/>
        <w:ind w:firstLine="4800" w:firstLineChars="2000"/>
        <w:rPr>
          <w:rFonts w:ascii="宋体" w:hAnsi="宋体" w:eastAsia="宋体"/>
          <w:color w:val="auto"/>
          <w:sz w:val="24"/>
          <w:highlight w:val="none"/>
        </w:rPr>
      </w:pPr>
    </w:p>
    <w:p w14:paraId="3173863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Theme="minorEastAsia" w:hAnsiTheme="minorEastAsia" w:eastAsiaTheme="minorEastAsia"/>
          <w:color w:val="auto"/>
          <w:sz w:val="24"/>
          <w:szCs w:val="28"/>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7F0A7ED">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66EE90">
      <w:pPr>
        <w:spacing w:line="360" w:lineRule="auto"/>
        <w:ind w:firstLine="4800" w:firstLineChars="2000"/>
        <w:rPr>
          <w:rFonts w:ascii="宋体" w:hAnsi="宋体" w:eastAsia="宋体"/>
          <w:color w:val="auto"/>
          <w:sz w:val="24"/>
          <w:szCs w:val="24"/>
          <w:highlight w:val="none"/>
          <w:u w:val="single"/>
        </w:rPr>
      </w:pPr>
    </w:p>
    <w:p w14:paraId="55DADE62">
      <w:pPr>
        <w:pStyle w:val="23"/>
        <w:spacing w:before="0" w:after="120" w:afterAutospacing="0"/>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9227CC">
      <w:pPr>
        <w:pStyle w:val="23"/>
        <w:spacing w:before="0" w:after="120" w:afterAutospacing="0"/>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0DA0EA">
      <w:pP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7E308BF">
      <w:pPr>
        <w:spacing w:line="360" w:lineRule="auto"/>
        <w:jc w:val="center"/>
        <w:outlineLvl w:val="1"/>
        <w:rPr>
          <w:rFonts w:asciiTheme="minorEastAsia" w:hAnsiTheme="minorEastAsia" w:eastAsiaTheme="minorEastAsia"/>
          <w:b/>
          <w:color w:val="auto"/>
          <w:sz w:val="24"/>
          <w:highlight w:val="none"/>
        </w:rPr>
      </w:pPr>
      <w:r>
        <w:rPr>
          <w:rFonts w:hint="eastAsia" w:ascii="宋体" w:hAnsi="宋体" w:eastAsia="宋体" w:cs="宋体"/>
          <w:b/>
          <w:color w:val="auto"/>
          <w:sz w:val="24"/>
          <w:szCs w:val="24"/>
          <w:highlight w:val="none"/>
          <w:lang w:bidi="ar"/>
        </w:rPr>
        <w:t>二、</w:t>
      </w:r>
      <w:r>
        <w:rPr>
          <w:rFonts w:hint="eastAsia" w:asciiTheme="minorEastAsia" w:hAnsiTheme="minorEastAsia" w:eastAsiaTheme="minorEastAsia"/>
          <w:b/>
          <w:color w:val="auto"/>
          <w:sz w:val="24"/>
          <w:highlight w:val="none"/>
        </w:rPr>
        <w:t>授权书</w:t>
      </w:r>
    </w:p>
    <w:p w14:paraId="0BD37C21">
      <w:pPr>
        <w:pStyle w:val="14"/>
        <w:snapToGrid w:val="0"/>
        <w:spacing w:line="360" w:lineRule="auto"/>
        <w:ind w:firstLine="480" w:firstLineChars="200"/>
        <w:jc w:val="left"/>
        <w:rPr>
          <w:rFonts w:hAnsi="宋体" w:eastAsia="宋体"/>
          <w:color w:val="auto"/>
          <w:sz w:val="24"/>
          <w:szCs w:val="28"/>
          <w:highlight w:val="none"/>
        </w:rPr>
      </w:pPr>
    </w:p>
    <w:p w14:paraId="4B4DB15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983428">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015EA87">
      <w:pPr>
        <w:spacing w:line="360" w:lineRule="auto"/>
        <w:ind w:firstLine="435"/>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身份证明扫描件：</w:t>
      </w:r>
    </w:p>
    <w:p w14:paraId="53D30A98">
      <w:pPr>
        <w:spacing w:line="360" w:lineRule="auto"/>
        <w:ind w:firstLine="435"/>
        <w:rPr>
          <w:rFonts w:asciiTheme="minorEastAsia" w:hAnsiTheme="minorEastAsia" w:eastAsiaTheme="minorEastAsia"/>
          <w:color w:val="auto"/>
          <w:sz w:val="24"/>
          <w:highlight w:val="none"/>
        </w:rPr>
      </w:pPr>
    </w:p>
    <w:p w14:paraId="624A42FB">
      <w:pPr>
        <w:spacing w:line="360" w:lineRule="auto"/>
        <w:ind w:firstLine="435"/>
        <w:rPr>
          <w:rFonts w:asciiTheme="minorEastAsia" w:hAnsiTheme="minorEastAsia" w:eastAsiaTheme="minorEastAsia"/>
          <w:color w:val="auto"/>
          <w:sz w:val="24"/>
          <w:highlight w:val="none"/>
        </w:rPr>
      </w:pPr>
    </w:p>
    <w:p w14:paraId="55F88840">
      <w:pPr>
        <w:spacing w:line="360" w:lineRule="auto"/>
        <w:ind w:firstLine="435"/>
        <w:rPr>
          <w:rFonts w:asciiTheme="minorEastAsia" w:hAnsiTheme="minorEastAsia" w:eastAsiaTheme="minorEastAsia"/>
          <w:color w:val="auto"/>
          <w:sz w:val="24"/>
          <w:highlight w:val="none"/>
        </w:rPr>
      </w:pPr>
    </w:p>
    <w:p w14:paraId="3A8FDCC3">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3C14F2B1">
      <w:pPr>
        <w:spacing w:line="360" w:lineRule="auto"/>
        <w:ind w:firstLine="435"/>
        <w:rPr>
          <w:rFonts w:hAnsi="宋体" w:eastAsia="宋体"/>
          <w:color w:val="auto"/>
          <w:sz w:val="24"/>
          <w:szCs w:val="28"/>
          <w:highlight w:val="none"/>
          <w:lang w:val="zh-CN"/>
        </w:rPr>
      </w:pPr>
    </w:p>
    <w:p w14:paraId="0AAF3F94">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026CAFD">
      <w:pPr>
        <w:spacing w:line="360" w:lineRule="auto"/>
        <w:rPr>
          <w:rFonts w:ascii="宋体" w:hAnsi="宋体" w:eastAsia="宋体"/>
          <w:color w:val="auto"/>
          <w:sz w:val="24"/>
          <w:szCs w:val="28"/>
          <w:highlight w:val="none"/>
        </w:rPr>
      </w:pPr>
    </w:p>
    <w:p w14:paraId="6B4604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829A1B6">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02DC18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665F5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308D64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3B61E11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054BE2">
      <w:pPr>
        <w:spacing w:line="360" w:lineRule="auto"/>
        <w:jc w:val="center"/>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三、诚信投标承诺书</w:t>
      </w:r>
    </w:p>
    <w:p w14:paraId="273CE1B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本人以企业法定代表人的身份郑重承诺：</w:t>
      </w:r>
    </w:p>
    <w:p w14:paraId="65ACD1D2">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一、将遵循公开、公正和诚实信用的原则自愿参加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项目的投标，所提供的一切材料都是真实、有效、合法的；</w:t>
      </w:r>
    </w:p>
    <w:p w14:paraId="31FA4E0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A90ACE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三、不出借、转让资质证书，不让他人挂靠投标，不以他人名义投标或者以其他方式弄虚作假，骗取中标；</w:t>
      </w:r>
    </w:p>
    <w:p w14:paraId="4B46CB07">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四、不与其他投标人相互串通投标报价，不排挤其他投标人的公平竞争、损害招标人的合法权益；</w:t>
      </w:r>
    </w:p>
    <w:p w14:paraId="75E79798">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五、不与招标人、招标代理机构或其他投标人串通投标，损害国家利益、社会公共利益或者他人的合法权益；</w:t>
      </w:r>
    </w:p>
    <w:p w14:paraId="50AF8A12">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7950A51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七、我公司没有下列情形：被滁州市县两级公管部门记入不良行为记录且在披露期内。</w:t>
      </w:r>
    </w:p>
    <w:p w14:paraId="25DA20F3">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八、严格遵守开标现场纪律，服从监管人员管理；</w:t>
      </w:r>
    </w:p>
    <w:p w14:paraId="3C2EC9BE">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九、保证中标后不转包，若有分包征得招标人同意；</w:t>
      </w:r>
    </w:p>
    <w:p w14:paraId="69FE5217">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十、保证中标之后，按照投标文件要求提供相关后续服务；</w:t>
      </w:r>
    </w:p>
    <w:p w14:paraId="5CA034E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十一、保证企业及所属相关人员在本次投标中无行贿等犯罪行为；</w:t>
      </w:r>
    </w:p>
    <w:p w14:paraId="091AD8D1">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5FC7B4D">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22132DB7">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4CD78CE">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基本账户：</w:t>
      </w:r>
    </w:p>
    <w:p w14:paraId="69A060EF">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投标单位（</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bidi="ar"/>
        </w:rPr>
        <w:t>）：              法定代表人（</w:t>
      </w:r>
      <w:r>
        <w:rPr>
          <w:rFonts w:hint="eastAsia" w:ascii="宋体" w:hAnsi="宋体" w:eastAsia="宋体" w:cs="宋体"/>
          <w:color w:val="auto"/>
          <w:sz w:val="24"/>
          <w:szCs w:val="24"/>
          <w:highlight w:val="none"/>
          <w:lang w:val="en-US" w:eastAsia="zh-CN" w:bidi="ar"/>
        </w:rPr>
        <w:t>盖章或签字</w:t>
      </w:r>
      <w:r>
        <w:rPr>
          <w:rFonts w:hint="eastAsia" w:ascii="宋体" w:hAnsi="宋体" w:eastAsia="宋体" w:cs="宋体"/>
          <w:color w:val="auto"/>
          <w:sz w:val="24"/>
          <w:szCs w:val="24"/>
          <w:highlight w:val="none"/>
          <w:lang w:bidi="ar"/>
        </w:rPr>
        <w:t>）：</w:t>
      </w:r>
    </w:p>
    <w:p w14:paraId="48B3927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C065FFB">
      <w:pPr>
        <w:spacing w:line="560" w:lineRule="exact"/>
        <w:jc w:val="right"/>
        <w:rPr>
          <w:rFonts w:ascii="仿宋_GB2312" w:eastAsia="仿宋_GB2312" w:cs="仿宋_GB2312"/>
          <w:color w:val="auto"/>
          <w:sz w:val="24"/>
          <w:szCs w:val="24"/>
          <w:highlight w:val="none"/>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年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月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0B9CF2FC">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F225603">
      <w:pP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969885E">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p>
    <w:p w14:paraId="3A1EE88C">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0DF7B85C">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48"/>
          <w:szCs w:val="48"/>
          <w:highlight w:val="none"/>
        </w:rPr>
      </w:pPr>
      <w:r>
        <w:rPr>
          <w:rFonts w:hint="eastAsia" w:ascii="宋体" w:hAnsi="Times New Roman" w:eastAsia="宋体" w:cs="Times New Roman"/>
          <w:color w:val="auto"/>
          <w:kern w:val="2"/>
          <w:sz w:val="48"/>
          <w:szCs w:val="48"/>
          <w:highlight w:val="none"/>
          <w:lang w:val="en-US" w:eastAsia="zh-CN" w:bidi="ar"/>
        </w:rPr>
        <w:t xml:space="preserve"> </w:t>
      </w:r>
    </w:p>
    <w:p w14:paraId="6DF8B2A7">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48"/>
          <w:szCs w:val="48"/>
          <w:highlight w:val="none"/>
        </w:rPr>
      </w:pPr>
      <w:r>
        <w:rPr>
          <w:rFonts w:hint="eastAsia" w:ascii="宋体" w:hAnsi="宋体" w:eastAsia="宋体" w:cs="宋体"/>
          <w:color w:val="auto"/>
          <w:kern w:val="2"/>
          <w:sz w:val="48"/>
          <w:szCs w:val="48"/>
          <w:highlight w:val="none"/>
          <w:lang w:val="en-US" w:eastAsia="zh-CN" w:bidi="ar"/>
        </w:rPr>
        <w:t>技术标文件</w:t>
      </w:r>
    </w:p>
    <w:p w14:paraId="301094A2">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b/>
          <w:bCs w:val="0"/>
          <w:color w:val="auto"/>
          <w:kern w:val="2"/>
          <w:sz w:val="21"/>
          <w:szCs w:val="21"/>
          <w:highlight w:val="none"/>
        </w:rPr>
      </w:pPr>
      <w:r>
        <w:rPr>
          <w:rFonts w:hint="eastAsia" w:ascii="宋体" w:hAnsi="Times New Roman" w:eastAsia="宋体" w:cs="Times New Roman"/>
          <w:b/>
          <w:bCs w:val="0"/>
          <w:color w:val="auto"/>
          <w:kern w:val="2"/>
          <w:sz w:val="21"/>
          <w:szCs w:val="21"/>
          <w:highlight w:val="none"/>
          <w:lang w:val="en-US" w:eastAsia="zh-CN" w:bidi="ar"/>
        </w:rPr>
        <w:t xml:space="preserve"> </w:t>
      </w:r>
    </w:p>
    <w:p w14:paraId="155E3705">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81A6ABB">
      <w:pPr>
        <w:keepNext w:val="0"/>
        <w:keepLines w:val="0"/>
        <w:widowControl w:val="0"/>
        <w:suppressLineNumbers w:val="0"/>
        <w:spacing w:before="0" w:beforeAutospacing="0" w:after="0" w:afterAutospacing="0"/>
        <w:ind w:left="0" w:right="0"/>
        <w:jc w:val="center"/>
        <w:rPr>
          <w:rFonts w:hint="eastAsia" w:ascii="Times New Roman" w:hAnsi="Times New Roman" w:eastAsia="黑体" w:cs="Times New Roman"/>
          <w:color w:val="auto"/>
          <w:kern w:val="2"/>
          <w:sz w:val="44"/>
          <w:szCs w:val="44"/>
          <w:highlight w:val="none"/>
        </w:rPr>
      </w:pPr>
      <w:r>
        <w:rPr>
          <w:rFonts w:hint="eastAsia" w:ascii="Times New Roman" w:hAnsi="Times New Roman" w:eastAsia="黑体" w:cs="Times New Roman"/>
          <w:color w:val="auto"/>
          <w:kern w:val="2"/>
          <w:sz w:val="44"/>
          <w:szCs w:val="44"/>
          <w:highlight w:val="none"/>
          <w:lang w:val="en-US" w:eastAsia="zh-CN" w:bidi="ar"/>
        </w:rPr>
        <w:t xml:space="preserve"> </w:t>
      </w:r>
    </w:p>
    <w:p w14:paraId="423E3495">
      <w:pPr>
        <w:keepNext w:val="0"/>
        <w:keepLines w:val="0"/>
        <w:widowControl w:val="0"/>
        <w:suppressLineNumbers w:val="0"/>
        <w:spacing w:before="0" w:beforeAutospacing="0" w:after="0" w:afterAutospacing="0"/>
        <w:ind w:right="0" w:firstLine="3080" w:firstLineChars="1100"/>
        <w:jc w:val="both"/>
        <w:rPr>
          <w:rFonts w:hint="eastAsia" w:ascii="宋体" w:hAnsi="Times New Roman"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35A2C990">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41581A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28336C96">
      <w:pPr>
        <w:pStyle w:val="23"/>
        <w:keepNext w:val="0"/>
        <w:keepLines w:val="0"/>
        <w:widowControl w:val="0"/>
        <w:suppressLineNumbers w:val="0"/>
        <w:spacing w:before="0" w:beforeAutospacing="1" w:after="120" w:afterAutospacing="0"/>
        <w:ind w:left="420" w:leftChars="200" w:right="0" w:firstLine="560" w:firstLineChars="2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7323F14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145B6AE">
      <w:pPr>
        <w:pStyle w:val="23"/>
        <w:keepNext w:val="0"/>
        <w:keepLines w:val="0"/>
        <w:widowControl w:val="0"/>
        <w:suppressLineNumbers w:val="0"/>
        <w:spacing w:before="0" w:beforeAutospacing="1" w:after="12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lang w:val="en-US" w:eastAsia="zh-CN" w:bidi="ar"/>
        </w:rPr>
      </w:pPr>
    </w:p>
    <w:p w14:paraId="7B8AA2EB">
      <w:pPr>
        <w:pStyle w:val="23"/>
        <w:keepNext w:val="0"/>
        <w:keepLines w:val="0"/>
        <w:widowControl w:val="0"/>
        <w:suppressLineNumbers w:val="0"/>
        <w:spacing w:before="0" w:beforeAutospacing="1" w:after="12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lang w:val="en-US" w:eastAsia="zh-CN" w:bidi="ar"/>
        </w:rPr>
      </w:pPr>
    </w:p>
    <w:p w14:paraId="41B39CE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A137F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8E870C3">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6A1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7BB1E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C84D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13762492">
      <w:pPr>
        <w:keepNext w:val="0"/>
        <w:keepLines w:val="0"/>
        <w:widowControl w:val="0"/>
        <w:suppressLineNumbers w:val="0"/>
        <w:spacing w:before="0" w:beforeAutospacing="0" w:after="0" w:afterAutospacing="0"/>
        <w:ind w:left="0" w:right="0" w:firstLine="1400" w:firstLineChars="5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7BBDE4B">
      <w:pPr>
        <w:pStyle w:val="23"/>
        <w:keepNext w:val="0"/>
        <w:keepLines w:val="0"/>
        <w:widowControl w:val="0"/>
        <w:suppressLineNumbers w:val="0"/>
        <w:spacing w:before="0" w:beforeAutospacing="1" w:after="120" w:afterAutospacing="0"/>
        <w:ind w:left="420" w:leftChars="200" w:right="0" w:firstLine="560" w:firstLineChars="2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4B03856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36"/>
          <w:szCs w:val="36"/>
          <w:highlight w:val="none"/>
          <w:lang w:val="en-US" w:eastAsia="zh-CN" w:bidi="ar"/>
        </w:rPr>
      </w:pPr>
    </w:p>
    <w:p w14:paraId="696576F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769417EC">
      <w:pPr>
        <w:keepNext w:val="0"/>
        <w:keepLines w:val="0"/>
        <w:widowControl w:val="0"/>
        <w:suppressLineNumbers w:val="0"/>
        <w:spacing w:before="0" w:beforeAutospacing="0" w:after="0" w:afterAutospacing="0" w:line="400" w:lineRule="exact"/>
        <w:ind w:left="0" w:right="0" w:firstLine="3744" w:firstLineChars="1036"/>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3C926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投标响应表（格式见附件）；</w:t>
      </w:r>
    </w:p>
    <w:p w14:paraId="643689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（2）诚信履约承诺函（格式见附件）</w:t>
      </w:r>
    </w:p>
    <w:p w14:paraId="070039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（3）招标文件技术标评审中要求提交的其他材料；</w:t>
      </w:r>
    </w:p>
    <w:p w14:paraId="27B513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（4）招标文件中要求的技术标评审及技术标评分的支持资料；</w:t>
      </w:r>
    </w:p>
    <w:p w14:paraId="061BEB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（5）投标人认为需要提供的其他技术证明材料；</w:t>
      </w:r>
    </w:p>
    <w:p w14:paraId="6830177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223EAE12">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051A494">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B8E9A92">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E4A3FD7">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C437EB3">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C0C551">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4581176">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3D316D6">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0FA55B1">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3F534585">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lang w:val="en-US" w:eastAsia="zh-CN" w:bidi="ar"/>
        </w:rPr>
      </w:pPr>
    </w:p>
    <w:p w14:paraId="17396C2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2097ED2">
      <w:pPr>
        <w:pStyle w:val="23"/>
        <w:keepNext w:val="0"/>
        <w:keepLines w:val="0"/>
        <w:widowControl w:val="0"/>
        <w:suppressLineNumbers w:val="0"/>
        <w:spacing w:before="0" w:beforeAutospacing="1" w:after="120" w:afterAutospacing="0" w:line="360" w:lineRule="auto"/>
        <w:ind w:left="420" w:leftChars="200" w:right="0" w:firstLine="482" w:firstLineChars="200"/>
        <w:jc w:val="center"/>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一、投标响应表</w:t>
      </w:r>
    </w:p>
    <w:p w14:paraId="7AB221CD">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4FD3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B6376E">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F87BC1D">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344D685">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A8D55C9">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BEB10A">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6AE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767B802">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D71E8D6">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66EF728">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5FB227C">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D1F5DA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5C1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ED940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EEEB914">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C5FAAAD">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DB2B28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6F244E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6DB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DC03AA">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3D8834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917728A">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9102A82">
            <w:pPr>
              <w:pStyle w:val="23"/>
              <w:keepNext w:val="0"/>
              <w:keepLines w:val="0"/>
              <w:widowControl w:val="0"/>
              <w:suppressLineNumbers w:val="0"/>
              <w:spacing w:before="0" w:beforeAutospacing="0" w:after="0" w:afterAutospacing="0"/>
              <w:ind w:left="0" w:right="0"/>
              <w:jc w:val="center"/>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9060A3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6B5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942C87">
            <w:pPr>
              <w:pStyle w:val="37"/>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AEF5C82">
            <w:pPr>
              <w:pStyle w:val="36"/>
              <w:keepNext w:val="0"/>
              <w:keepLines w:val="0"/>
              <w:widowControl w:val="0"/>
              <w:suppressLineNumbers w:val="0"/>
              <w:spacing w:before="0" w:beforeAutospacing="0" w:after="0" w:afterAutospacing="0" w:line="360" w:lineRule="auto"/>
              <w:ind w:left="0" w:leftChars="0" w:right="0" w:rightChars="0"/>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免费服务（质保）期限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2AC70C8">
            <w:pPr>
              <w:pStyle w:val="36"/>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b/>
                <w:bCs w:val="0"/>
                <w:color w:val="auto"/>
                <w:kern w:val="0"/>
                <w:sz w:val="24"/>
                <w:szCs w:val="28"/>
                <w:highlight w:val="none"/>
                <w:lang w:val="en-US" w:eastAsia="zh-CN" w:bidi="ar-SA"/>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2AD348A">
            <w:pPr>
              <w:pStyle w:val="23"/>
              <w:keepNext w:val="0"/>
              <w:keepLines w:val="0"/>
              <w:widowControl w:val="0"/>
              <w:suppressLineNumbers w:val="0"/>
              <w:spacing w:before="0" w:beforeAutospacing="0" w:after="0" w:afterAutospacing="0"/>
              <w:ind w:left="0" w:right="0"/>
              <w:jc w:val="center"/>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8736CF9">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3707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1417A16">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72D2A7D">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55ED189E">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CDBB64F">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0FF7C8C">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bl>
    <w:p w14:paraId="4B773772">
      <w:pPr>
        <w:spacing w:line="360" w:lineRule="auto"/>
        <w:ind w:firstLine="435"/>
        <w:outlineLvl w:val="2"/>
        <w:rPr>
          <w:rFonts w:asciiTheme="minorEastAsia" w:hAnsiTheme="minorEastAsia" w:eastAsiaTheme="minorEastAsia"/>
          <w:bCs/>
          <w:i/>
          <w:iCs/>
          <w:color w:val="auto"/>
          <w:sz w:val="24"/>
          <w:szCs w:val="24"/>
          <w:highlight w:val="none"/>
        </w:rPr>
      </w:pPr>
      <w:r>
        <w:rPr>
          <w:rFonts w:hint="eastAsia" w:asciiTheme="minorEastAsia" w:hAnsiTheme="minorEastAsia" w:eastAsiaTheme="minorEastAsia"/>
          <w:b/>
          <w:color w:val="auto"/>
          <w:sz w:val="24"/>
          <w:szCs w:val="24"/>
          <w:highlight w:val="none"/>
          <w:lang w:val="en-US" w:eastAsia="zh-CN"/>
        </w:rPr>
        <w:t>2.</w:t>
      </w:r>
      <w:r>
        <w:rPr>
          <w:rFonts w:hint="eastAsia" w:asciiTheme="minorEastAsia" w:hAnsiTheme="minorEastAsia" w:eastAsiaTheme="minorEastAsia"/>
          <w:b/>
          <w:color w:val="auto"/>
          <w:sz w:val="24"/>
          <w:szCs w:val="24"/>
          <w:highlight w:val="none"/>
        </w:rPr>
        <w:t>技术响应表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EC0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4E3A3726">
            <w:pPr>
              <w:pStyle w:val="14"/>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序号</w:t>
            </w:r>
          </w:p>
        </w:tc>
        <w:tc>
          <w:tcPr>
            <w:tcW w:w="915" w:type="pct"/>
            <w:vAlign w:val="center"/>
          </w:tcPr>
          <w:p w14:paraId="04E44E6A">
            <w:pPr>
              <w:pStyle w:val="14"/>
              <w:keepNext w:val="0"/>
              <w:keepLines w:val="0"/>
              <w:suppressLineNumbers w:val="0"/>
              <w:spacing w:before="0" w:beforeAutospacing="0" w:after="0" w:afterAutospacing="0"/>
              <w:ind w:left="0" w:right="0"/>
              <w:jc w:val="center"/>
              <w:rPr>
                <w:rFonts w:hint="eastAsia" w:cs="Wingdings" w:asciiTheme="minorEastAsia" w:hAnsiTheme="minorEastAsia" w:eastAsiaTheme="minorEastAsia"/>
                <w:b/>
                <w:color w:val="auto"/>
                <w:sz w:val="24"/>
                <w:szCs w:val="24"/>
                <w:highlight w:val="none"/>
                <w:lang w:eastAsia="zh-CN"/>
              </w:rPr>
            </w:pPr>
            <w:r>
              <w:rPr>
                <w:rFonts w:hint="eastAsia" w:asciiTheme="minorEastAsia" w:hAnsiTheme="minorEastAsia"/>
                <w:b/>
                <w:bCs/>
                <w:color w:val="auto"/>
                <w:sz w:val="24"/>
                <w:szCs w:val="24"/>
                <w:highlight w:val="none"/>
                <w:lang w:val="en-US" w:eastAsia="zh-CN"/>
              </w:rPr>
              <w:t>品目名称</w:t>
            </w:r>
          </w:p>
        </w:tc>
        <w:tc>
          <w:tcPr>
            <w:tcW w:w="1680" w:type="pct"/>
            <w:vAlign w:val="center"/>
          </w:tcPr>
          <w:p w14:paraId="73C6144C">
            <w:pPr>
              <w:pStyle w:val="14"/>
              <w:keepNext w:val="0"/>
              <w:keepLines w:val="0"/>
              <w:suppressLineNumbers w:val="0"/>
              <w:spacing w:before="0" w:beforeAutospacing="0" w:after="0" w:afterAutospacing="0"/>
              <w:ind w:left="0" w:right="0"/>
              <w:jc w:val="center"/>
              <w:rPr>
                <w:rFonts w:hint="default" w:cs="Wingdings" w:asciiTheme="minorEastAsia" w:hAnsiTheme="minorEastAsia" w:eastAsiaTheme="minorEastAsia"/>
                <w:b/>
                <w:color w:val="auto"/>
                <w:sz w:val="24"/>
                <w:szCs w:val="24"/>
                <w:highlight w:val="none"/>
                <w:lang w:val="en-US" w:eastAsia="zh-CN"/>
              </w:rPr>
            </w:pPr>
            <w:r>
              <w:rPr>
                <w:rFonts w:hint="eastAsia" w:cs="Wingdings" w:asciiTheme="minorEastAsia" w:hAnsiTheme="minorEastAsia"/>
                <w:b/>
                <w:color w:val="auto"/>
                <w:sz w:val="24"/>
                <w:szCs w:val="24"/>
                <w:highlight w:val="none"/>
              </w:rPr>
              <w:t>招标文件规定的</w:t>
            </w:r>
            <w:r>
              <w:rPr>
                <w:rFonts w:hint="eastAsia" w:cs="Wingdings" w:asciiTheme="minorEastAsia" w:hAnsiTheme="minorEastAsia"/>
                <w:b/>
                <w:color w:val="auto"/>
                <w:sz w:val="24"/>
                <w:szCs w:val="24"/>
                <w:highlight w:val="none"/>
                <w:lang w:val="en-US" w:eastAsia="zh-CN"/>
              </w:rPr>
              <w:t>系统具体技术参数</w:t>
            </w:r>
          </w:p>
        </w:tc>
        <w:tc>
          <w:tcPr>
            <w:tcW w:w="1456" w:type="pct"/>
            <w:vAlign w:val="center"/>
          </w:tcPr>
          <w:p w14:paraId="03561F2D">
            <w:pPr>
              <w:pStyle w:val="14"/>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所投产品的</w:t>
            </w:r>
            <w:r>
              <w:rPr>
                <w:rFonts w:hint="eastAsia" w:cs="Wingdings" w:asciiTheme="minorEastAsia" w:hAnsiTheme="minorEastAsia"/>
                <w:b/>
                <w:color w:val="auto"/>
                <w:sz w:val="24"/>
                <w:szCs w:val="24"/>
                <w:highlight w:val="none"/>
                <w:lang w:val="en-US" w:eastAsia="zh-CN"/>
              </w:rPr>
              <w:t>系统具体技术参数</w:t>
            </w:r>
          </w:p>
        </w:tc>
        <w:tc>
          <w:tcPr>
            <w:tcW w:w="502" w:type="pct"/>
            <w:vAlign w:val="center"/>
          </w:tcPr>
          <w:p w14:paraId="08199A2A">
            <w:pPr>
              <w:pStyle w:val="14"/>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偏离说明</w:t>
            </w:r>
          </w:p>
        </w:tc>
      </w:tr>
      <w:tr w14:paraId="1302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BE9151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915" w:type="pct"/>
            <w:vAlign w:val="center"/>
          </w:tcPr>
          <w:p w14:paraId="5F9C9E9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680" w:type="pct"/>
            <w:vAlign w:val="center"/>
          </w:tcPr>
          <w:p w14:paraId="1709CCD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456" w:type="pct"/>
            <w:vAlign w:val="center"/>
          </w:tcPr>
          <w:p w14:paraId="5CD700C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502" w:type="pct"/>
            <w:vAlign w:val="center"/>
          </w:tcPr>
          <w:p w14:paraId="28215D1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r>
      <w:tr w14:paraId="518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C3DAEC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915" w:type="pct"/>
            <w:vAlign w:val="center"/>
          </w:tcPr>
          <w:p w14:paraId="0B4D20E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680" w:type="pct"/>
            <w:vAlign w:val="center"/>
          </w:tcPr>
          <w:p w14:paraId="68846D9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456" w:type="pct"/>
            <w:vAlign w:val="center"/>
          </w:tcPr>
          <w:p w14:paraId="0CD7BC3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502" w:type="pct"/>
            <w:vAlign w:val="center"/>
          </w:tcPr>
          <w:p w14:paraId="2914D8C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r>
      <w:tr w14:paraId="5ACF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53C5EA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915" w:type="pct"/>
            <w:vAlign w:val="center"/>
          </w:tcPr>
          <w:p w14:paraId="04E6EE4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680" w:type="pct"/>
            <w:vAlign w:val="center"/>
          </w:tcPr>
          <w:p w14:paraId="68DF04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456" w:type="pct"/>
            <w:vAlign w:val="center"/>
          </w:tcPr>
          <w:p w14:paraId="46FAAD38">
            <w:pPr>
              <w:pStyle w:val="44"/>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502" w:type="pct"/>
            <w:vAlign w:val="center"/>
          </w:tcPr>
          <w:p w14:paraId="4A126C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r>
      <w:tr w14:paraId="4F5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1237B3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915" w:type="pct"/>
            <w:vAlign w:val="center"/>
          </w:tcPr>
          <w:p w14:paraId="623C30D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680" w:type="pct"/>
            <w:vAlign w:val="center"/>
          </w:tcPr>
          <w:p w14:paraId="4C69658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456" w:type="pct"/>
            <w:vAlign w:val="center"/>
          </w:tcPr>
          <w:p w14:paraId="34A79C16">
            <w:pPr>
              <w:pStyle w:val="44"/>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502" w:type="pct"/>
            <w:vAlign w:val="center"/>
          </w:tcPr>
          <w:p w14:paraId="530721D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r>
      <w:tr w14:paraId="162F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EF67A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915" w:type="pct"/>
            <w:vAlign w:val="center"/>
          </w:tcPr>
          <w:p w14:paraId="79ACB56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680" w:type="pct"/>
            <w:vAlign w:val="center"/>
          </w:tcPr>
          <w:p w14:paraId="0AF35C0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1456" w:type="pct"/>
            <w:vAlign w:val="center"/>
          </w:tcPr>
          <w:p w14:paraId="7DCEDC8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c>
          <w:tcPr>
            <w:tcW w:w="502" w:type="pct"/>
            <w:vAlign w:val="center"/>
          </w:tcPr>
          <w:p w14:paraId="0D8BA03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highlight w:val="none"/>
              </w:rPr>
            </w:pPr>
          </w:p>
        </w:tc>
      </w:tr>
    </w:tbl>
    <w:p w14:paraId="69AFA07D">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C224F08">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DFB807B">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u w:val="single"/>
          <w:lang w:val="en-US" w:eastAsia="zh-CN" w:bidi="ar"/>
        </w:rPr>
        <w:t xml:space="preserve">             </w:t>
      </w:r>
    </w:p>
    <w:p w14:paraId="01954167">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8A3A5FA">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val="0"/>
          <w:color w:val="auto"/>
          <w:kern w:val="2"/>
          <w:sz w:val="24"/>
          <w:szCs w:val="24"/>
          <w:highlight w:val="none"/>
        </w:rPr>
      </w:pPr>
      <w:r>
        <w:rPr>
          <w:rFonts w:hint="eastAsia" w:ascii="宋体" w:hAnsi="宋体" w:eastAsia="宋体" w:cs="Arial"/>
          <w:b w:val="0"/>
          <w:color w:val="auto"/>
          <w:kern w:val="2"/>
          <w:sz w:val="24"/>
          <w:szCs w:val="24"/>
          <w:highlight w:val="none"/>
          <w:lang w:val="en-US" w:eastAsia="zh-CN" w:bidi="ar"/>
        </w:rPr>
        <w:br w:type="page"/>
      </w:r>
    </w:p>
    <w:p w14:paraId="0683CC0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二、诚信履约承诺函</w:t>
      </w:r>
    </w:p>
    <w:p w14:paraId="2DA8B7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16B23B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0BD44E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E1715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332210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4372DC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0289FF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58272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263F73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6B31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（投标人名称）</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736687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186E364E">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仿宋_GB2312"/>
          <w:bCs/>
          <w:color w:val="auto"/>
          <w:kern w:val="2"/>
          <w:sz w:val="24"/>
          <w:szCs w:val="24"/>
          <w:highlight w:val="none"/>
          <w:u w:val="single"/>
          <w:lang w:val="en-US" w:eastAsia="zh-CN" w:bidi="ar"/>
        </w:rPr>
        <w:t xml:space="preserve">             </w:t>
      </w:r>
    </w:p>
    <w:p w14:paraId="04B04279">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76613BB7">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br w:type="page"/>
      </w:r>
    </w:p>
    <w:p w14:paraId="0FD666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p>
    <w:p w14:paraId="756135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301BB08">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51936912">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0958208F">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4D91AECE">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E12ED4">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6"/>
          <w:szCs w:val="36"/>
          <w:highlight w:val="none"/>
        </w:rPr>
      </w:pPr>
      <w:r>
        <w:rPr>
          <w:rFonts w:hint="eastAsia" w:ascii="宋体" w:hAnsi="宋体" w:eastAsia="宋体" w:cs="宋体"/>
          <w:color w:val="auto"/>
          <w:kern w:val="2"/>
          <w:sz w:val="44"/>
          <w:szCs w:val="44"/>
          <w:highlight w:val="none"/>
          <w:lang w:val="en-US" w:eastAsia="zh-CN" w:bidi="ar"/>
        </w:rPr>
        <w:t>（</w:t>
      </w:r>
      <w:r>
        <w:rPr>
          <w:rFonts w:hint="eastAsia" w:ascii="宋体" w:hAnsi="宋体" w:eastAsia="宋体" w:cs="宋体"/>
          <w:color w:val="auto"/>
          <w:kern w:val="2"/>
          <w:sz w:val="36"/>
          <w:szCs w:val="36"/>
          <w:highlight w:val="none"/>
          <w:lang w:val="en-US" w:eastAsia="zh-CN" w:bidi="ar"/>
        </w:rPr>
        <w:t>投标文件三）</w:t>
      </w:r>
    </w:p>
    <w:p w14:paraId="4F339E87">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6"/>
          <w:szCs w:val="36"/>
          <w:highlight w:val="none"/>
        </w:rPr>
      </w:pPr>
      <w:r>
        <w:rPr>
          <w:rFonts w:hint="eastAsia" w:ascii="宋体" w:hAnsi="Times New Roman" w:eastAsia="宋体" w:cs="Times New Roman"/>
          <w:color w:val="auto"/>
          <w:kern w:val="2"/>
          <w:sz w:val="36"/>
          <w:szCs w:val="36"/>
          <w:highlight w:val="none"/>
          <w:lang w:val="en-US" w:eastAsia="zh-CN" w:bidi="ar"/>
        </w:rPr>
        <w:t xml:space="preserve"> </w:t>
      </w:r>
    </w:p>
    <w:p w14:paraId="46BD55B7">
      <w:pPr>
        <w:keepNext w:val="0"/>
        <w:keepLines w:val="0"/>
        <w:widowControl w:val="0"/>
        <w:suppressLineNumbers w:val="0"/>
        <w:spacing w:before="0" w:beforeAutospacing="0" w:after="0" w:afterAutospacing="0"/>
        <w:ind w:left="0" w:right="0" w:firstLine="3360" w:firstLineChars="1200"/>
        <w:jc w:val="both"/>
        <w:rPr>
          <w:rFonts w:hint="eastAsia" w:ascii="宋体" w:hAnsi="Times New Roman" w:eastAsia="宋体" w:cs="Times New Roman"/>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6F3A029E">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7321EE4">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328F5DA">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r>
        <w:rPr>
          <w:rFonts w:hint="eastAsia" w:ascii="宋体" w:hAnsi="Times New Roman" w:eastAsia="宋体" w:cs="Times New Roman"/>
          <w:color w:val="auto"/>
          <w:kern w:val="2"/>
          <w:sz w:val="28"/>
          <w:szCs w:val="28"/>
          <w:highlight w:val="none"/>
          <w:lang w:val="en-US" w:eastAsia="zh-CN" w:bidi="ar"/>
        </w:rPr>
        <w:t xml:space="preserve"> </w:t>
      </w:r>
    </w:p>
    <w:p w14:paraId="51CB94FA">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6B88557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59BC234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2883CB1C">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p>
    <w:p w14:paraId="091D52D1">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9D01A98">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24C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4991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074CF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5EE84E4">
      <w:pPr>
        <w:spacing w:line="360" w:lineRule="auto"/>
        <w:jc w:val="center"/>
        <w:outlineLvl w:val="1"/>
        <w:rPr>
          <w:rFonts w:hint="eastAsia" w:asciiTheme="minorEastAsia" w:hAnsiTheme="minorEastAsia" w:eastAsiaTheme="minorEastAsia"/>
          <w:b/>
          <w:color w:val="auto"/>
          <w:sz w:val="24"/>
          <w:highlight w:val="none"/>
        </w:rPr>
      </w:pPr>
    </w:p>
    <w:p w14:paraId="4572299B">
      <w:pPr>
        <w:spacing w:line="360" w:lineRule="auto"/>
        <w:jc w:val="center"/>
        <w:outlineLvl w:val="1"/>
        <w:rPr>
          <w:rFonts w:hint="eastAsia" w:asciiTheme="minorEastAsia" w:hAnsiTheme="minorEastAsia" w:eastAsiaTheme="minorEastAsia"/>
          <w:b/>
          <w:color w:val="auto"/>
          <w:sz w:val="24"/>
          <w:highlight w:val="none"/>
        </w:rPr>
      </w:pPr>
    </w:p>
    <w:p w14:paraId="3F8D54C4">
      <w:pPr>
        <w:spacing w:line="360" w:lineRule="auto"/>
        <w:jc w:val="center"/>
        <w:outlineLvl w:val="1"/>
        <w:rPr>
          <w:rFonts w:hint="eastAsia" w:asciiTheme="minorEastAsia" w:hAnsiTheme="minorEastAsia" w:eastAsiaTheme="minorEastAsia"/>
          <w:b/>
          <w:color w:val="auto"/>
          <w:sz w:val="24"/>
          <w:highlight w:val="none"/>
        </w:rPr>
      </w:pPr>
    </w:p>
    <w:p w14:paraId="100D1C27">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9EA3CB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0D5B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（1）开标一览表（格式见附件）；</w:t>
      </w:r>
    </w:p>
    <w:p w14:paraId="7295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（2）投标函（格式见附件）；</w:t>
      </w:r>
    </w:p>
    <w:p w14:paraId="3BA7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（3）投标分项报价表（格式见附件）；</w:t>
      </w:r>
    </w:p>
    <w:p w14:paraId="0153E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（4）招标文件商务评审中要求提供的其他相关资料；</w:t>
      </w:r>
    </w:p>
    <w:p w14:paraId="068B9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（5）投标人认为需要提供的其他材料；</w:t>
      </w:r>
    </w:p>
    <w:p w14:paraId="198CB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45BCB2C3">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25CB2F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61D606EA">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456096F">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5C4B12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AEB3887">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9D70E4D">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C9E3BD8">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75E4F7C">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C24951E">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053692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8D5DAD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E513D13">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21676F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224405B">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42753C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28932B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50F952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C7BB44D">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E0C49D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801A9D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CD1F40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F7129D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bookmarkEnd w:id="188"/>
      <w:bookmarkEnd w:id="189"/>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8E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89C675A">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541FEB6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Cs/>
                <w:color w:val="auto"/>
                <w:sz w:val="24"/>
                <w:szCs w:val="20"/>
                <w:highlight w:val="none"/>
                <w:u w:val="single"/>
              </w:rPr>
            </w:pPr>
          </w:p>
        </w:tc>
      </w:tr>
      <w:tr w14:paraId="3CF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582DA0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5EE1284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p>
        </w:tc>
      </w:tr>
      <w:tr w14:paraId="5B1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60CFD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216A3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w:t>
            </w:r>
          </w:p>
        </w:tc>
      </w:tr>
      <w:tr w14:paraId="237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1800C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1F376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0C932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670"/>
              <w:textAlignment w:val="auto"/>
              <w:rPr>
                <w:rFonts w:hint="default" w:asciiTheme="minorEastAsia" w:hAnsiTheme="minorEastAsia" w:eastAsiaTheme="minorEastAsia"/>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5E3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B54408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4A8A71D1">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szCs w:val="28"/>
                <w:highlight w:val="none"/>
              </w:rPr>
            </w:pPr>
          </w:p>
        </w:tc>
      </w:tr>
    </w:tbl>
    <w:p w14:paraId="3C847DE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1CEE368">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21D08F6">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297003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1EDC0B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表中投标报价作为评审及定标依据。任何有选择或有条件的投标报价，或者表中某一包别填写多个报价，均为无效报价。</w:t>
      </w:r>
    </w:p>
    <w:p w14:paraId="7E65C6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3B11374">
      <w:pPr>
        <w:spacing w:line="360" w:lineRule="auto"/>
        <w:jc w:val="center"/>
        <w:outlineLvl w:val="1"/>
        <w:rPr>
          <w:rFonts w:asciiTheme="minorEastAsia" w:hAnsiTheme="minorEastAsia" w:eastAsiaTheme="minorEastAsia"/>
          <w:b/>
          <w:color w:val="auto"/>
          <w:sz w:val="24"/>
          <w:highlight w:val="none"/>
        </w:rPr>
      </w:pPr>
      <w:bookmarkStart w:id="190" w:name="_Toc6441"/>
      <w:bookmarkStart w:id="191" w:name="_Toc6120"/>
      <w:r>
        <w:rPr>
          <w:rFonts w:hint="eastAsia" w:asciiTheme="minorEastAsia" w:hAnsiTheme="minorEastAsia" w:eastAsiaTheme="minorEastAsia"/>
          <w:b/>
          <w:color w:val="auto"/>
          <w:sz w:val="24"/>
          <w:highlight w:val="none"/>
        </w:rPr>
        <w:t>二、投标函</w:t>
      </w:r>
      <w:bookmarkEnd w:id="190"/>
      <w:bookmarkEnd w:id="191"/>
    </w:p>
    <w:p w14:paraId="0958B83B">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02D35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3723C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691305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6C63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3DFB6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79B5566">
      <w:pPr>
        <w:spacing w:line="360" w:lineRule="auto"/>
        <w:ind w:firstLine="4800" w:firstLineChars="2000"/>
        <w:rPr>
          <w:rFonts w:ascii="宋体" w:hAnsi="宋体" w:eastAsia="宋体"/>
          <w:color w:val="auto"/>
          <w:sz w:val="24"/>
          <w:highlight w:val="none"/>
        </w:rPr>
      </w:pPr>
    </w:p>
    <w:p w14:paraId="4E360B4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B331F81">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32CF7E2">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B28B71E">
      <w:pPr>
        <w:spacing w:line="360" w:lineRule="auto"/>
        <w:jc w:val="center"/>
        <w:outlineLvl w:val="1"/>
        <w:rPr>
          <w:rFonts w:hint="eastAsia" w:asciiTheme="minorEastAsia" w:hAnsiTheme="minorEastAsia" w:eastAsiaTheme="minorEastAsia"/>
          <w:b/>
          <w:color w:val="auto"/>
          <w:sz w:val="24"/>
          <w:highlight w:val="none"/>
        </w:rPr>
      </w:pPr>
      <w:bookmarkStart w:id="192" w:name="_Toc31027"/>
      <w:bookmarkStart w:id="193" w:name="_Toc32226"/>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、投标分项报价表</w:t>
      </w:r>
      <w:bookmarkEnd w:id="192"/>
      <w:bookmarkEnd w:id="193"/>
    </w:p>
    <w:tbl>
      <w:tblPr>
        <w:tblStyle w:val="28"/>
        <w:tblW w:w="54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330"/>
        <w:gridCol w:w="1813"/>
        <w:gridCol w:w="729"/>
        <w:gridCol w:w="1391"/>
        <w:gridCol w:w="1235"/>
        <w:gridCol w:w="1245"/>
      </w:tblGrid>
      <w:tr w14:paraId="22EF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3" w:hRule="atLeast"/>
          <w:jc w:val="center"/>
        </w:trPr>
        <w:tc>
          <w:tcPr>
            <w:tcW w:w="335" w:type="pct"/>
            <w:vAlign w:val="center"/>
          </w:tcPr>
          <w:p w14:paraId="4F5AEFE1">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序号</w:t>
            </w:r>
          </w:p>
        </w:tc>
        <w:tc>
          <w:tcPr>
            <w:tcW w:w="1243" w:type="pct"/>
            <w:vAlign w:val="center"/>
          </w:tcPr>
          <w:p w14:paraId="58B6FC48">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品目</w:t>
            </w:r>
            <w:r>
              <w:rPr>
                <w:rFonts w:hint="eastAsia" w:ascii="宋体" w:hAnsi="宋体" w:eastAsia="宋体" w:cs="宋体"/>
                <w:b/>
                <w:bCs/>
                <w:color w:val="auto"/>
                <w:kern w:val="0"/>
                <w:sz w:val="24"/>
                <w:szCs w:val="24"/>
                <w:highlight w:val="none"/>
                <w:lang w:bidi="ar"/>
              </w:rPr>
              <w:t>名称</w:t>
            </w:r>
          </w:p>
        </w:tc>
        <w:tc>
          <w:tcPr>
            <w:tcW w:w="967" w:type="pct"/>
            <w:vAlign w:val="center"/>
          </w:tcPr>
          <w:p w14:paraId="26352D54">
            <w:pPr>
              <w:keepNext w:val="0"/>
              <w:keepLines w:val="0"/>
              <w:suppressLineNumbers w:val="0"/>
              <w:spacing w:before="0" w:beforeAutospacing="0" w:after="0" w:afterAutospacing="0"/>
              <w:ind w:left="0" w:right="0"/>
              <w:jc w:val="center"/>
              <w:rPr>
                <w:rFonts w:hint="eastAsia" w:asciiTheme="minorEastAsia" w:hAnsiTheme="minorEastAsia" w:eastAsiaTheme="minorEastAsia"/>
                <w:b/>
                <w:color w:val="auto"/>
                <w:sz w:val="24"/>
                <w:szCs w:val="20"/>
                <w:highlight w:val="none"/>
                <w:lang w:val="en-US" w:eastAsia="zh-CN"/>
              </w:rPr>
            </w:pPr>
            <w:r>
              <w:rPr>
                <w:rFonts w:hint="eastAsia" w:asciiTheme="minorEastAsia" w:hAnsiTheme="minorEastAsia" w:eastAsiaTheme="minorEastAsia"/>
                <w:b/>
                <w:color w:val="auto"/>
                <w:sz w:val="24"/>
                <w:szCs w:val="20"/>
                <w:highlight w:val="none"/>
                <w:lang w:val="en-US" w:eastAsia="zh-CN"/>
              </w:rPr>
              <w:t>描述</w:t>
            </w:r>
          </w:p>
        </w:tc>
        <w:tc>
          <w:tcPr>
            <w:tcW w:w="389" w:type="pct"/>
            <w:shd w:val="clear" w:color="auto" w:fill="auto"/>
            <w:vAlign w:val="center"/>
          </w:tcPr>
          <w:p w14:paraId="72D3B91F">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b/>
                <w:color w:val="auto"/>
                <w:kern w:val="2"/>
                <w:sz w:val="24"/>
                <w:szCs w:val="20"/>
                <w:highlight w:val="none"/>
                <w:lang w:val="en-US" w:eastAsia="zh-CN" w:bidi="ar-SA"/>
              </w:rPr>
            </w:pPr>
            <w:r>
              <w:rPr>
                <w:rFonts w:hint="eastAsia" w:asciiTheme="minorEastAsia" w:hAnsiTheme="minorEastAsia" w:eastAsiaTheme="minorEastAsia"/>
                <w:b/>
                <w:color w:val="auto"/>
                <w:sz w:val="24"/>
                <w:szCs w:val="20"/>
                <w:highlight w:val="none"/>
              </w:rPr>
              <w:t>项</w:t>
            </w:r>
          </w:p>
        </w:tc>
        <w:tc>
          <w:tcPr>
            <w:tcW w:w="742" w:type="pct"/>
            <w:vAlign w:val="center"/>
          </w:tcPr>
          <w:p w14:paraId="0D32D224">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w:t>
            </w:r>
          </w:p>
        </w:tc>
        <w:tc>
          <w:tcPr>
            <w:tcW w:w="659" w:type="pct"/>
            <w:vAlign w:val="center"/>
          </w:tcPr>
          <w:p w14:paraId="578BEDE7">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小计金额（元）</w:t>
            </w:r>
          </w:p>
        </w:tc>
        <w:tc>
          <w:tcPr>
            <w:tcW w:w="662" w:type="pct"/>
            <w:vAlign w:val="center"/>
          </w:tcPr>
          <w:p w14:paraId="171343D0">
            <w:pPr>
              <w:keepNext w:val="0"/>
              <w:keepLines w:val="0"/>
              <w:suppressLineNumbers w:val="0"/>
              <w:spacing w:before="0" w:beforeAutospacing="0" w:after="0" w:afterAutospacing="0"/>
              <w:ind w:left="0" w:right="0"/>
              <w:jc w:val="center"/>
              <w:rPr>
                <w:rFonts w:hint="eastAsia" w:asciiTheme="minorEastAsia" w:hAnsiTheme="minorEastAsia" w:eastAsiaTheme="minorEastAsia"/>
                <w:b/>
                <w:color w:val="auto"/>
                <w:sz w:val="24"/>
                <w:szCs w:val="20"/>
                <w:highlight w:val="none"/>
                <w:lang w:val="en-US" w:eastAsia="zh-CN"/>
              </w:rPr>
            </w:pPr>
            <w:r>
              <w:rPr>
                <w:rFonts w:hint="eastAsia" w:asciiTheme="minorEastAsia" w:hAnsiTheme="minorEastAsia" w:eastAsiaTheme="minorEastAsia"/>
                <w:b/>
                <w:color w:val="auto"/>
                <w:sz w:val="24"/>
                <w:szCs w:val="20"/>
                <w:highlight w:val="none"/>
                <w:lang w:val="en-US" w:eastAsia="zh-CN"/>
              </w:rPr>
              <w:t>备注</w:t>
            </w:r>
          </w:p>
        </w:tc>
      </w:tr>
      <w:tr w14:paraId="4B6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tcBorders>
              <w:bottom w:val="single" w:color="auto" w:sz="4" w:space="0"/>
            </w:tcBorders>
            <w:vAlign w:val="center"/>
          </w:tcPr>
          <w:p w14:paraId="0ADFF715">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2FFE28E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全媒体网站管理平台</w:t>
            </w:r>
          </w:p>
        </w:tc>
        <w:tc>
          <w:tcPr>
            <w:tcW w:w="967" w:type="pct"/>
            <w:vAlign w:val="center"/>
          </w:tcPr>
          <w:p w14:paraId="4F5F947E">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1771917C">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27AF1AC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6BB952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40D2A1A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554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25FCE107">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3F6C692D">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网页防篡改系统</w:t>
            </w:r>
          </w:p>
        </w:tc>
        <w:tc>
          <w:tcPr>
            <w:tcW w:w="967" w:type="pct"/>
            <w:vAlign w:val="center"/>
          </w:tcPr>
          <w:p w14:paraId="7E586E9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6CD6C227">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0960DAF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727053E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66F8D0E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1F4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6C9EAA29">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2D5F4C1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内容安全预检</w:t>
            </w:r>
          </w:p>
        </w:tc>
        <w:tc>
          <w:tcPr>
            <w:tcW w:w="967" w:type="pct"/>
            <w:vAlign w:val="center"/>
          </w:tcPr>
          <w:p w14:paraId="0EE67A43">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02A6A666">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704BC39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5D082C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5824D90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760D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2FEAEA74">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2444E59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响应式定制建站定制</w:t>
            </w:r>
          </w:p>
        </w:tc>
        <w:tc>
          <w:tcPr>
            <w:tcW w:w="967" w:type="pct"/>
            <w:vAlign w:val="center"/>
          </w:tcPr>
          <w:p w14:paraId="3261A0F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18939B8A">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7706619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3C5166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2FEF5B6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4FE9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63D5FE48">
            <w:pPr>
              <w:pStyle w:val="9"/>
              <w:keepNext w:val="0"/>
              <w:keepLines w:val="0"/>
              <w:numPr>
                <w:ilvl w:val="0"/>
                <w:numId w:val="3"/>
              </w:numPr>
              <w:suppressLineNumbers w:val="0"/>
              <w:spacing w:before="0" w:beforeAutospacing="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13308CC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部署</w:t>
            </w:r>
          </w:p>
        </w:tc>
        <w:tc>
          <w:tcPr>
            <w:tcW w:w="967" w:type="pct"/>
            <w:vAlign w:val="center"/>
          </w:tcPr>
          <w:p w14:paraId="6714C066">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29DF1C41">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5216337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69A94BC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0D27D1A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3F9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7BE226AD">
            <w:pPr>
              <w:pStyle w:val="9"/>
              <w:keepNext w:val="0"/>
              <w:keepLines w:val="0"/>
              <w:numPr>
                <w:ilvl w:val="0"/>
                <w:numId w:val="3"/>
              </w:numPr>
              <w:suppressLineNumbers w:val="0"/>
              <w:spacing w:before="0" w:beforeAutospacing="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1422EE9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服务器</w:t>
            </w:r>
          </w:p>
        </w:tc>
        <w:tc>
          <w:tcPr>
            <w:tcW w:w="967" w:type="pct"/>
            <w:vAlign w:val="center"/>
          </w:tcPr>
          <w:p w14:paraId="3321A8C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写明所投服务器品牌、型号（生产厂家）</w:t>
            </w:r>
          </w:p>
        </w:tc>
        <w:tc>
          <w:tcPr>
            <w:tcW w:w="389" w:type="pct"/>
            <w:shd w:val="clear" w:color="auto" w:fill="auto"/>
            <w:vAlign w:val="center"/>
          </w:tcPr>
          <w:p w14:paraId="14E90E56">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2956A45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6B2D269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7998293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79B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47C10D5F">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0428A88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培训</w:t>
            </w:r>
          </w:p>
        </w:tc>
        <w:tc>
          <w:tcPr>
            <w:tcW w:w="967" w:type="pct"/>
            <w:vAlign w:val="center"/>
          </w:tcPr>
          <w:p w14:paraId="33AF235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728F5B6A">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29B649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36CD5B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231EC69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080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335" w:type="pct"/>
            <w:vAlign w:val="center"/>
          </w:tcPr>
          <w:p w14:paraId="6E69A7E3">
            <w:pPr>
              <w:keepNext w:val="0"/>
              <w:keepLines w:val="0"/>
              <w:numPr>
                <w:ilvl w:val="0"/>
                <w:numId w:val="3"/>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1243" w:type="pct"/>
            <w:vAlign w:val="center"/>
          </w:tcPr>
          <w:p w14:paraId="4F39FED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质保服务</w:t>
            </w:r>
          </w:p>
        </w:tc>
        <w:tc>
          <w:tcPr>
            <w:tcW w:w="967" w:type="pct"/>
            <w:vAlign w:val="center"/>
          </w:tcPr>
          <w:p w14:paraId="331EE893">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389" w:type="pct"/>
            <w:shd w:val="clear" w:color="auto" w:fill="auto"/>
            <w:vAlign w:val="center"/>
          </w:tcPr>
          <w:p w14:paraId="1D81C810">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lang w:val="en-US" w:eastAsia="zh-CN"/>
              </w:rPr>
              <w:t>1</w:t>
            </w:r>
          </w:p>
        </w:tc>
        <w:tc>
          <w:tcPr>
            <w:tcW w:w="742" w:type="pct"/>
            <w:vAlign w:val="center"/>
          </w:tcPr>
          <w:p w14:paraId="6B9DFCA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59" w:type="pct"/>
            <w:vAlign w:val="center"/>
          </w:tcPr>
          <w:p w14:paraId="0C5C60D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662" w:type="pct"/>
            <w:vAlign w:val="center"/>
          </w:tcPr>
          <w:p w14:paraId="539CAFE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质保服务期限按所投承诺期限填写</w:t>
            </w:r>
          </w:p>
        </w:tc>
      </w:tr>
      <w:tr w14:paraId="279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578" w:type="pct"/>
            <w:gridSpan w:val="2"/>
            <w:vAlign w:val="center"/>
          </w:tcPr>
          <w:p w14:paraId="34CC2E8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
                <w:color w:val="auto"/>
                <w:sz w:val="24"/>
                <w:szCs w:val="20"/>
                <w:highlight w:val="none"/>
              </w:rPr>
              <w:t>合计金额（元）</w:t>
            </w:r>
          </w:p>
        </w:tc>
        <w:tc>
          <w:tcPr>
            <w:tcW w:w="3421" w:type="pct"/>
            <w:gridSpan w:val="5"/>
            <w:vAlign w:val="center"/>
          </w:tcPr>
          <w:p w14:paraId="4A767B0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bl>
    <w:p w14:paraId="41C1544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581D51">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72217F">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A82A28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570E418D">
      <w:pPr>
        <w:pStyle w:val="9"/>
        <w:rPr>
          <w:rFonts w:hint="eastAsia" w:asciiTheme="minorEastAsia" w:hAnsiTheme="minorEastAsia" w:eastAsiaTheme="minorEastAsia"/>
          <w:color w:val="auto"/>
          <w:sz w:val="24"/>
          <w:highlight w:val="none"/>
        </w:rPr>
      </w:pPr>
    </w:p>
    <w:p w14:paraId="6FC173B7">
      <w:pPr>
        <w:rPr>
          <w:rFonts w:hint="eastAsia" w:asciiTheme="minorEastAsia" w:hAnsiTheme="minorEastAsia" w:eastAsiaTheme="minorEastAsia"/>
          <w:b/>
          <w:color w:val="auto"/>
          <w:sz w:val="24"/>
          <w:highlight w:val="none"/>
        </w:rPr>
      </w:pPr>
      <w:bookmarkStart w:id="194" w:name="_Toc20329"/>
      <w:r>
        <w:rPr>
          <w:rFonts w:hint="eastAsia" w:asciiTheme="minorEastAsia" w:hAnsiTheme="minorEastAsia" w:eastAsiaTheme="minorEastAsia"/>
          <w:b/>
          <w:color w:val="auto"/>
          <w:sz w:val="24"/>
          <w:highlight w:val="none"/>
        </w:rPr>
        <w:br w:type="page"/>
      </w:r>
    </w:p>
    <w:bookmarkEnd w:id="194"/>
    <w:p w14:paraId="3040DB58">
      <w:pPr>
        <w:spacing w:line="360" w:lineRule="auto"/>
        <w:jc w:val="center"/>
        <w:outlineLvl w:val="0"/>
        <w:rPr>
          <w:rFonts w:ascii="宋体" w:hAnsi="宋体" w:eastAsia="宋体"/>
          <w:b/>
          <w:bCs/>
          <w:color w:val="auto"/>
          <w:sz w:val="28"/>
          <w:highlight w:val="none"/>
        </w:rPr>
      </w:pPr>
      <w:bookmarkStart w:id="195" w:name="_Toc6435"/>
      <w:bookmarkStart w:id="196" w:name="_Toc20819"/>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95"/>
      <w:bookmarkEnd w:id="196"/>
    </w:p>
    <w:p w14:paraId="514208B7">
      <w:pPr>
        <w:spacing w:line="360" w:lineRule="auto"/>
        <w:jc w:val="center"/>
        <w:outlineLvl w:val="1"/>
        <w:rPr>
          <w:rFonts w:ascii="仿宋" w:hAnsi="仿宋" w:eastAsia="仿宋" w:cs="仿宋"/>
          <w:b/>
          <w:bCs/>
          <w:color w:val="auto"/>
          <w:sz w:val="32"/>
          <w:szCs w:val="44"/>
          <w:highlight w:val="none"/>
        </w:rPr>
      </w:pPr>
      <w:bookmarkStart w:id="197" w:name="_Toc6955"/>
      <w:bookmarkStart w:id="198" w:name="_Toc27159"/>
      <w:r>
        <w:rPr>
          <w:rFonts w:hint="eastAsia" w:ascii="仿宋" w:hAnsi="仿宋" w:eastAsia="仿宋" w:cs="仿宋"/>
          <w:b/>
          <w:bCs/>
          <w:color w:val="auto"/>
          <w:sz w:val="32"/>
          <w:szCs w:val="44"/>
          <w:highlight w:val="none"/>
        </w:rPr>
        <w:t>询问函范本</w:t>
      </w:r>
      <w:bookmarkEnd w:id="197"/>
      <w:bookmarkEnd w:id="198"/>
    </w:p>
    <w:p w14:paraId="0102F25C">
      <w:pPr>
        <w:adjustRightInd w:val="0"/>
        <w:snapToGrid w:val="0"/>
        <w:spacing w:line="360" w:lineRule="auto"/>
        <w:ind w:firstLine="480" w:firstLineChars="200"/>
        <w:jc w:val="center"/>
        <w:rPr>
          <w:rFonts w:ascii="仿宋" w:hAnsi="仿宋" w:eastAsia="仿宋" w:cs="仿宋"/>
          <w:b/>
          <w:bCs/>
          <w:i w:val="0"/>
          <w:iCs w:val="0"/>
          <w:color w:val="auto"/>
          <w:sz w:val="32"/>
          <w:szCs w:val="44"/>
          <w:highlight w:val="none"/>
        </w:rPr>
      </w:pPr>
      <w:r>
        <w:rPr>
          <w:rFonts w:hint="eastAsia" w:cs="仿宋" w:asciiTheme="minorEastAsia" w:hAnsiTheme="minorEastAsia" w:eastAsiaTheme="minorEastAsia"/>
          <w:i w:val="0"/>
          <w:iCs w:val="0"/>
          <w:color w:val="auto"/>
          <w:sz w:val="24"/>
          <w:szCs w:val="24"/>
          <w:highlight w:val="none"/>
        </w:rPr>
        <w:t>（如为对采购文件或采购程序的询问或疑问，请按询问函范本格式附件进行提交）</w:t>
      </w:r>
    </w:p>
    <w:p w14:paraId="18B826BA">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493B82D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F7E99CB">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199" w:name="_Toc13899"/>
      <w:r>
        <w:rPr>
          <w:rFonts w:hint="eastAsia" w:cs="仿宋" w:asciiTheme="minorEastAsia" w:hAnsiTheme="minorEastAsia" w:eastAsiaTheme="minorEastAsia"/>
          <w:color w:val="auto"/>
          <w:sz w:val="24"/>
          <w:szCs w:val="24"/>
          <w:highlight w:val="none"/>
        </w:rPr>
        <w:t>一、(事项一)</w:t>
      </w:r>
      <w:bookmarkEnd w:id="199"/>
    </w:p>
    <w:p w14:paraId="0958B4B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2736CD9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40C3DD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671182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200" w:name="_Toc3352"/>
      <w:r>
        <w:rPr>
          <w:rFonts w:hint="eastAsia" w:cs="仿宋" w:asciiTheme="minorEastAsia" w:hAnsiTheme="minorEastAsia" w:eastAsiaTheme="minorEastAsia"/>
          <w:color w:val="auto"/>
          <w:sz w:val="24"/>
          <w:szCs w:val="24"/>
          <w:highlight w:val="none"/>
        </w:rPr>
        <w:t>二、(事项二)</w:t>
      </w:r>
      <w:bookmarkEnd w:id="200"/>
    </w:p>
    <w:p w14:paraId="195F7CD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E6FEB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B0D41FD">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EE20D2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8E4C65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6A5740F">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570AB894">
      <w:pPr>
        <w:jc w:val="center"/>
        <w:outlineLvl w:val="1"/>
        <w:rPr>
          <w:rFonts w:ascii="仿宋" w:hAnsi="仿宋" w:eastAsia="仿宋" w:cs="仿宋"/>
          <w:b/>
          <w:bCs/>
          <w:color w:val="auto"/>
          <w:sz w:val="32"/>
          <w:szCs w:val="44"/>
          <w:highlight w:val="none"/>
        </w:rPr>
      </w:pPr>
      <w:bookmarkStart w:id="201" w:name="_Toc1575"/>
      <w:bookmarkStart w:id="202" w:name="_Toc857"/>
      <w:r>
        <w:rPr>
          <w:rFonts w:hint="eastAsia" w:ascii="仿宋" w:hAnsi="仿宋" w:eastAsia="仿宋" w:cs="仿宋"/>
          <w:b/>
          <w:bCs/>
          <w:color w:val="auto"/>
          <w:sz w:val="32"/>
          <w:szCs w:val="44"/>
          <w:highlight w:val="none"/>
        </w:rPr>
        <w:t>质疑函范本</w:t>
      </w:r>
      <w:bookmarkEnd w:id="201"/>
      <w:bookmarkEnd w:id="202"/>
    </w:p>
    <w:p w14:paraId="73AE5202">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203" w:name="_Toc21381"/>
      <w:r>
        <w:rPr>
          <w:rFonts w:hint="eastAsia" w:cs="仿宋" w:asciiTheme="minorEastAsia" w:hAnsiTheme="minorEastAsia" w:eastAsiaTheme="minorEastAsia"/>
          <w:b/>
          <w:bCs/>
          <w:color w:val="auto"/>
          <w:sz w:val="24"/>
          <w:szCs w:val="24"/>
          <w:highlight w:val="none"/>
        </w:rPr>
        <w:t>一、质疑供应商基本信息</w:t>
      </w:r>
      <w:bookmarkEnd w:id="203"/>
    </w:p>
    <w:p w14:paraId="016C8CD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B273D2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6B718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91FA1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81EB0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C05C04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C198C75">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04" w:name="_Toc28415"/>
      <w:r>
        <w:rPr>
          <w:rFonts w:hint="eastAsia" w:cs="仿宋" w:asciiTheme="minorEastAsia" w:hAnsiTheme="minorEastAsia" w:eastAsiaTheme="minorEastAsia"/>
          <w:b/>
          <w:bCs/>
          <w:color w:val="auto"/>
          <w:sz w:val="24"/>
          <w:szCs w:val="24"/>
          <w:highlight w:val="none"/>
        </w:rPr>
        <w:t>二、质疑项目基本情况</w:t>
      </w:r>
      <w:bookmarkEnd w:id="204"/>
    </w:p>
    <w:p w14:paraId="24F1AC1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274226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68CA46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0DCF2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269AD2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05" w:name="_Toc19014"/>
      <w:r>
        <w:rPr>
          <w:rFonts w:hint="eastAsia" w:cs="仿宋" w:asciiTheme="minorEastAsia" w:hAnsiTheme="minorEastAsia" w:eastAsiaTheme="minorEastAsia"/>
          <w:b/>
          <w:bCs/>
          <w:color w:val="auto"/>
          <w:sz w:val="24"/>
          <w:szCs w:val="24"/>
          <w:highlight w:val="none"/>
        </w:rPr>
        <w:t>三、质疑事项具体内容</w:t>
      </w:r>
      <w:bookmarkEnd w:id="205"/>
    </w:p>
    <w:p w14:paraId="5D67DE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5AA233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010BE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FF43AA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60E19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4AE0FE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3B41AC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8B78409">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206" w:name="_Toc17919"/>
      <w:r>
        <w:rPr>
          <w:rFonts w:hint="eastAsia" w:cs="仿宋" w:asciiTheme="minorEastAsia" w:hAnsiTheme="minorEastAsia" w:eastAsiaTheme="minorEastAsia"/>
          <w:b/>
          <w:bCs/>
          <w:color w:val="auto"/>
          <w:sz w:val="24"/>
          <w:szCs w:val="24"/>
          <w:highlight w:val="none"/>
        </w:rPr>
        <w:t>四、与质疑事项相关的质疑请求</w:t>
      </w:r>
      <w:bookmarkEnd w:id="206"/>
    </w:p>
    <w:p w14:paraId="5E8958F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BFACA9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038E5B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90BDEF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4E2EA8B">
      <w:pPr>
        <w:outlineLvl w:val="0"/>
        <w:rPr>
          <w:rFonts w:asciiTheme="minorEastAsia" w:hAnsiTheme="minorEastAsia" w:eastAsiaTheme="minorEastAsia"/>
          <w:b/>
          <w:color w:val="auto"/>
          <w:sz w:val="28"/>
          <w:szCs w:val="32"/>
          <w:highlight w:val="none"/>
        </w:rPr>
      </w:pPr>
      <w:bookmarkStart w:id="207" w:name="_Toc9754"/>
      <w:bookmarkStart w:id="208" w:name="_Toc22239"/>
      <w:r>
        <w:rPr>
          <w:rFonts w:hint="eastAsia" w:asciiTheme="minorEastAsia" w:hAnsiTheme="minorEastAsia" w:eastAsiaTheme="minorEastAsia"/>
          <w:b/>
          <w:color w:val="auto"/>
          <w:sz w:val="28"/>
          <w:szCs w:val="32"/>
          <w:highlight w:val="none"/>
        </w:rPr>
        <w:t>质疑函制作说明：</w:t>
      </w:r>
      <w:bookmarkEnd w:id="207"/>
      <w:bookmarkEnd w:id="208"/>
    </w:p>
    <w:p w14:paraId="156041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2948C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31C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5A6D7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A3E0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F5B7B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F68E">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6749">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C6EF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0C6EF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4640">
    <w:pPr>
      <w:pStyle w:val="18"/>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D82D">
    <w:pPr>
      <w:pStyle w:val="18"/>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F0208"/>
    <w:multiLevelType w:val="singleLevel"/>
    <w:tmpl w:val="BD7F0208"/>
    <w:lvl w:ilvl="0" w:tentative="0">
      <w:start w:val="1"/>
      <w:numFmt w:val="decimal"/>
      <w:lvlText w:val="%1."/>
      <w:lvlJc w:val="left"/>
      <w:pPr>
        <w:ind w:left="425" w:hanging="425"/>
      </w:pPr>
      <w:rPr>
        <w:rFonts w:hint="default"/>
      </w:rPr>
    </w:lvl>
  </w:abstractNum>
  <w:abstractNum w:abstractNumId="1">
    <w:nsid w:val="2A064A37"/>
    <w:multiLevelType w:val="singleLevel"/>
    <w:tmpl w:val="2A064A37"/>
    <w:lvl w:ilvl="0" w:tentative="0">
      <w:start w:val="3"/>
      <w:numFmt w:val="chineseCounting"/>
      <w:suff w:val="space"/>
      <w:lvlText w:val="第%1章"/>
      <w:lvlJc w:val="left"/>
      <w:rPr>
        <w:rFonts w:hint="eastAsia"/>
      </w:rPr>
    </w:lvl>
  </w:abstractNum>
  <w:abstractNum w:abstractNumId="2">
    <w:nsid w:val="627245FE"/>
    <w:multiLevelType w:val="singleLevel"/>
    <w:tmpl w:val="627245FE"/>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TZhMjAyMmJmYWFkMDM3NzliNzczODI3NThkOW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0FB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7B7"/>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827C0"/>
    <w:rsid w:val="0214602E"/>
    <w:rsid w:val="02A8425B"/>
    <w:rsid w:val="02C020B8"/>
    <w:rsid w:val="02C46BBB"/>
    <w:rsid w:val="03486B27"/>
    <w:rsid w:val="03CA6453"/>
    <w:rsid w:val="040A094E"/>
    <w:rsid w:val="04E36C96"/>
    <w:rsid w:val="056800F4"/>
    <w:rsid w:val="056F201D"/>
    <w:rsid w:val="05B664D4"/>
    <w:rsid w:val="06C67C70"/>
    <w:rsid w:val="07076C01"/>
    <w:rsid w:val="071C12AC"/>
    <w:rsid w:val="07484DE8"/>
    <w:rsid w:val="074E231E"/>
    <w:rsid w:val="07A934B3"/>
    <w:rsid w:val="08B15E54"/>
    <w:rsid w:val="09061CDB"/>
    <w:rsid w:val="0928110E"/>
    <w:rsid w:val="0980799C"/>
    <w:rsid w:val="09856BED"/>
    <w:rsid w:val="0A0F6376"/>
    <w:rsid w:val="0A353CEA"/>
    <w:rsid w:val="0A595E3B"/>
    <w:rsid w:val="0A6A18DB"/>
    <w:rsid w:val="0A984BB5"/>
    <w:rsid w:val="0ACA636E"/>
    <w:rsid w:val="0AEF3828"/>
    <w:rsid w:val="0AFC4ED4"/>
    <w:rsid w:val="0BBB665B"/>
    <w:rsid w:val="0BD55013"/>
    <w:rsid w:val="0CA737D5"/>
    <w:rsid w:val="0CB7664E"/>
    <w:rsid w:val="0D986042"/>
    <w:rsid w:val="0E214A20"/>
    <w:rsid w:val="0E816EC5"/>
    <w:rsid w:val="0EEA6FC1"/>
    <w:rsid w:val="0F5462B6"/>
    <w:rsid w:val="0F954485"/>
    <w:rsid w:val="0FBF344F"/>
    <w:rsid w:val="100938CA"/>
    <w:rsid w:val="10505F32"/>
    <w:rsid w:val="105A27E6"/>
    <w:rsid w:val="119B0711"/>
    <w:rsid w:val="12197477"/>
    <w:rsid w:val="13587E2C"/>
    <w:rsid w:val="13D529D6"/>
    <w:rsid w:val="1466407E"/>
    <w:rsid w:val="14834E28"/>
    <w:rsid w:val="148E7D65"/>
    <w:rsid w:val="15133286"/>
    <w:rsid w:val="151D4243"/>
    <w:rsid w:val="15231BF9"/>
    <w:rsid w:val="179F5278"/>
    <w:rsid w:val="17B44FF8"/>
    <w:rsid w:val="18410DE3"/>
    <w:rsid w:val="1A385A6D"/>
    <w:rsid w:val="1A3B68AA"/>
    <w:rsid w:val="1A3E1C1E"/>
    <w:rsid w:val="1BDA2DC8"/>
    <w:rsid w:val="1C141836"/>
    <w:rsid w:val="1CF80F25"/>
    <w:rsid w:val="1D164103"/>
    <w:rsid w:val="1DB36EE5"/>
    <w:rsid w:val="1E081BFA"/>
    <w:rsid w:val="1E6B6A14"/>
    <w:rsid w:val="1F0E1492"/>
    <w:rsid w:val="1F2111C5"/>
    <w:rsid w:val="1FF57FC4"/>
    <w:rsid w:val="20550D9A"/>
    <w:rsid w:val="20AA1F85"/>
    <w:rsid w:val="21714B53"/>
    <w:rsid w:val="218E2416"/>
    <w:rsid w:val="226915FE"/>
    <w:rsid w:val="22D0331A"/>
    <w:rsid w:val="22E14C32"/>
    <w:rsid w:val="24B97929"/>
    <w:rsid w:val="24C76DC3"/>
    <w:rsid w:val="2520252D"/>
    <w:rsid w:val="26163BC1"/>
    <w:rsid w:val="26B446CD"/>
    <w:rsid w:val="26D20FF7"/>
    <w:rsid w:val="27972B0E"/>
    <w:rsid w:val="285F40CA"/>
    <w:rsid w:val="28C01ECB"/>
    <w:rsid w:val="28EC3ECC"/>
    <w:rsid w:val="29833889"/>
    <w:rsid w:val="29BF71E3"/>
    <w:rsid w:val="2A127B63"/>
    <w:rsid w:val="2A826133"/>
    <w:rsid w:val="2AAA4765"/>
    <w:rsid w:val="2AC21606"/>
    <w:rsid w:val="2AF63C5E"/>
    <w:rsid w:val="2B1240B8"/>
    <w:rsid w:val="2B7E7608"/>
    <w:rsid w:val="2B7F04E9"/>
    <w:rsid w:val="2C305555"/>
    <w:rsid w:val="2C9A21B9"/>
    <w:rsid w:val="2CCB09C2"/>
    <w:rsid w:val="2CE20523"/>
    <w:rsid w:val="2D496D68"/>
    <w:rsid w:val="2DB13EB6"/>
    <w:rsid w:val="2E325A6D"/>
    <w:rsid w:val="2E6672CB"/>
    <w:rsid w:val="2E7A48DE"/>
    <w:rsid w:val="2EDC3ED8"/>
    <w:rsid w:val="2EE93382"/>
    <w:rsid w:val="2F2D046C"/>
    <w:rsid w:val="2F6351B4"/>
    <w:rsid w:val="2F850E45"/>
    <w:rsid w:val="2FCF199E"/>
    <w:rsid w:val="30483E83"/>
    <w:rsid w:val="30AA0E97"/>
    <w:rsid w:val="31EF23AF"/>
    <w:rsid w:val="32834A31"/>
    <w:rsid w:val="33174961"/>
    <w:rsid w:val="334E4CD8"/>
    <w:rsid w:val="337A0A4C"/>
    <w:rsid w:val="343C0775"/>
    <w:rsid w:val="349D0E96"/>
    <w:rsid w:val="34A71D15"/>
    <w:rsid w:val="34AA76A9"/>
    <w:rsid w:val="356C50EC"/>
    <w:rsid w:val="359B0FA0"/>
    <w:rsid w:val="361108CD"/>
    <w:rsid w:val="36A71338"/>
    <w:rsid w:val="36B51298"/>
    <w:rsid w:val="3700166C"/>
    <w:rsid w:val="37182A56"/>
    <w:rsid w:val="3727617F"/>
    <w:rsid w:val="375969FE"/>
    <w:rsid w:val="3805122C"/>
    <w:rsid w:val="38694EE9"/>
    <w:rsid w:val="39567866"/>
    <w:rsid w:val="397228F1"/>
    <w:rsid w:val="3B1E43B3"/>
    <w:rsid w:val="3B2C2F74"/>
    <w:rsid w:val="3B365CC9"/>
    <w:rsid w:val="3B4007CD"/>
    <w:rsid w:val="3B5C01D0"/>
    <w:rsid w:val="3B9A7B88"/>
    <w:rsid w:val="3BC114FF"/>
    <w:rsid w:val="3BFD046C"/>
    <w:rsid w:val="3BFD7E2E"/>
    <w:rsid w:val="3C2660C6"/>
    <w:rsid w:val="3D2C7AC8"/>
    <w:rsid w:val="3D855D12"/>
    <w:rsid w:val="3D8B42FF"/>
    <w:rsid w:val="3D8C02DD"/>
    <w:rsid w:val="3DC20089"/>
    <w:rsid w:val="3DF36A6E"/>
    <w:rsid w:val="3ECE413E"/>
    <w:rsid w:val="3F1138E1"/>
    <w:rsid w:val="3F792F1E"/>
    <w:rsid w:val="40302BBE"/>
    <w:rsid w:val="40824826"/>
    <w:rsid w:val="40985DF4"/>
    <w:rsid w:val="40E63923"/>
    <w:rsid w:val="41BD7166"/>
    <w:rsid w:val="420A04F4"/>
    <w:rsid w:val="42B443F4"/>
    <w:rsid w:val="42F43FD4"/>
    <w:rsid w:val="43A91E5B"/>
    <w:rsid w:val="44746283"/>
    <w:rsid w:val="44BC3308"/>
    <w:rsid w:val="45145C5B"/>
    <w:rsid w:val="453A628D"/>
    <w:rsid w:val="45BA48DB"/>
    <w:rsid w:val="4605384E"/>
    <w:rsid w:val="463A3650"/>
    <w:rsid w:val="469F0116"/>
    <w:rsid w:val="46FE630E"/>
    <w:rsid w:val="475259B7"/>
    <w:rsid w:val="47685377"/>
    <w:rsid w:val="47863208"/>
    <w:rsid w:val="48732454"/>
    <w:rsid w:val="48831CF9"/>
    <w:rsid w:val="488573DD"/>
    <w:rsid w:val="48FA020D"/>
    <w:rsid w:val="49A165B8"/>
    <w:rsid w:val="49B1408D"/>
    <w:rsid w:val="4A7D4FD2"/>
    <w:rsid w:val="4A913C9A"/>
    <w:rsid w:val="4AE22D2F"/>
    <w:rsid w:val="4B1F70AC"/>
    <w:rsid w:val="4B240F94"/>
    <w:rsid w:val="4B386AE5"/>
    <w:rsid w:val="4B580ED4"/>
    <w:rsid w:val="4BA75287"/>
    <w:rsid w:val="4BBC4849"/>
    <w:rsid w:val="4BED70D6"/>
    <w:rsid w:val="4C3C565C"/>
    <w:rsid w:val="4CCC79C7"/>
    <w:rsid w:val="4D7555C7"/>
    <w:rsid w:val="4E6B30B5"/>
    <w:rsid w:val="4EAE6DA0"/>
    <w:rsid w:val="4FD037EF"/>
    <w:rsid w:val="5016514B"/>
    <w:rsid w:val="502857C7"/>
    <w:rsid w:val="50476D3D"/>
    <w:rsid w:val="51CB1C78"/>
    <w:rsid w:val="51E3596A"/>
    <w:rsid w:val="51FD6A51"/>
    <w:rsid w:val="526B680A"/>
    <w:rsid w:val="52C90BE7"/>
    <w:rsid w:val="52DB6CEE"/>
    <w:rsid w:val="53150D15"/>
    <w:rsid w:val="5352083E"/>
    <w:rsid w:val="536C5E11"/>
    <w:rsid w:val="541A5D30"/>
    <w:rsid w:val="54267F9B"/>
    <w:rsid w:val="553E632F"/>
    <w:rsid w:val="559347D6"/>
    <w:rsid w:val="55F068CD"/>
    <w:rsid w:val="560D7635"/>
    <w:rsid w:val="566C3136"/>
    <w:rsid w:val="568D04F2"/>
    <w:rsid w:val="57B0286F"/>
    <w:rsid w:val="57E9601D"/>
    <w:rsid w:val="580132D4"/>
    <w:rsid w:val="58335DE1"/>
    <w:rsid w:val="588D6DD7"/>
    <w:rsid w:val="592B66DE"/>
    <w:rsid w:val="5A526582"/>
    <w:rsid w:val="5A5F5C77"/>
    <w:rsid w:val="5B0819F5"/>
    <w:rsid w:val="5BBE39CD"/>
    <w:rsid w:val="5BC11A60"/>
    <w:rsid w:val="5C7A4D54"/>
    <w:rsid w:val="5CD23B73"/>
    <w:rsid w:val="5CDC6150"/>
    <w:rsid w:val="5DAA2594"/>
    <w:rsid w:val="5EB44CC0"/>
    <w:rsid w:val="5EB6477F"/>
    <w:rsid w:val="5F127819"/>
    <w:rsid w:val="5F63752A"/>
    <w:rsid w:val="5F65353E"/>
    <w:rsid w:val="5F875CF4"/>
    <w:rsid w:val="60F1503F"/>
    <w:rsid w:val="61025188"/>
    <w:rsid w:val="61057D5F"/>
    <w:rsid w:val="614D4977"/>
    <w:rsid w:val="6249637B"/>
    <w:rsid w:val="63506F50"/>
    <w:rsid w:val="63C60FC0"/>
    <w:rsid w:val="642B33E5"/>
    <w:rsid w:val="642C1A53"/>
    <w:rsid w:val="647D3761"/>
    <w:rsid w:val="64BA3D7A"/>
    <w:rsid w:val="64F179BC"/>
    <w:rsid w:val="65C94C55"/>
    <w:rsid w:val="66042274"/>
    <w:rsid w:val="66391F1D"/>
    <w:rsid w:val="665704D3"/>
    <w:rsid w:val="66E4436D"/>
    <w:rsid w:val="673148E2"/>
    <w:rsid w:val="67535B43"/>
    <w:rsid w:val="675445CD"/>
    <w:rsid w:val="67C065A4"/>
    <w:rsid w:val="67D359C9"/>
    <w:rsid w:val="67D5211A"/>
    <w:rsid w:val="683706DE"/>
    <w:rsid w:val="68FE36DD"/>
    <w:rsid w:val="694E60FC"/>
    <w:rsid w:val="69C64095"/>
    <w:rsid w:val="69EF4042"/>
    <w:rsid w:val="6A0B1E23"/>
    <w:rsid w:val="6AE306AA"/>
    <w:rsid w:val="6C215D21"/>
    <w:rsid w:val="6C410A63"/>
    <w:rsid w:val="6C471402"/>
    <w:rsid w:val="6C675CE6"/>
    <w:rsid w:val="6CAD71C1"/>
    <w:rsid w:val="6CEF35AF"/>
    <w:rsid w:val="6CFC623F"/>
    <w:rsid w:val="6D4F4321"/>
    <w:rsid w:val="6DFF7360"/>
    <w:rsid w:val="6E7A5F73"/>
    <w:rsid w:val="6F2E3798"/>
    <w:rsid w:val="6FD74228"/>
    <w:rsid w:val="70A95EF1"/>
    <w:rsid w:val="70FE5EDF"/>
    <w:rsid w:val="71633091"/>
    <w:rsid w:val="717D314F"/>
    <w:rsid w:val="72253C9E"/>
    <w:rsid w:val="72665B65"/>
    <w:rsid w:val="73081CA5"/>
    <w:rsid w:val="735D2FC3"/>
    <w:rsid w:val="74545B7C"/>
    <w:rsid w:val="7487762D"/>
    <w:rsid w:val="74BE3D6B"/>
    <w:rsid w:val="75385498"/>
    <w:rsid w:val="75695C4F"/>
    <w:rsid w:val="769962BD"/>
    <w:rsid w:val="76BC207F"/>
    <w:rsid w:val="76CC46E8"/>
    <w:rsid w:val="76EB4904"/>
    <w:rsid w:val="777378F5"/>
    <w:rsid w:val="777A2D3C"/>
    <w:rsid w:val="780D4FB8"/>
    <w:rsid w:val="78537BEA"/>
    <w:rsid w:val="79074B81"/>
    <w:rsid w:val="794F0939"/>
    <w:rsid w:val="79AF0FCA"/>
    <w:rsid w:val="79DB404B"/>
    <w:rsid w:val="79EF2560"/>
    <w:rsid w:val="7AF9279C"/>
    <w:rsid w:val="7BC40083"/>
    <w:rsid w:val="7BD872C1"/>
    <w:rsid w:val="7CC51958"/>
    <w:rsid w:val="7CEC40B6"/>
    <w:rsid w:val="7DD72DB4"/>
    <w:rsid w:val="7E2936C3"/>
    <w:rsid w:val="7E2E365C"/>
    <w:rsid w:val="7E6411B9"/>
    <w:rsid w:val="7ECA59B1"/>
    <w:rsid w:val="7FBA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0"/>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rPr>
      <w:szCs w:val="24"/>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0"/>
    <w:pPr>
      <w:spacing w:line="360" w:lineRule="auto"/>
      <w:ind w:left="630" w:right="-609" w:firstLine="420"/>
    </w:pPr>
    <w:rPr>
      <w:rFonts w:ascii="仿宋_GB2312" w:eastAsia="仿宋_GB2312"/>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40"/>
    <w:autoRedefine/>
    <w:qFormat/>
    <w:uiPriority w:val="99"/>
    <w:rPr>
      <w:rFonts w:ascii="宋体" w:hAnsi="Courier New" w:eastAsiaTheme="minorEastAsia" w:cstheme="minorBidi"/>
      <w:szCs w:val="22"/>
    </w:rPr>
  </w:style>
  <w:style w:type="paragraph" w:styleId="15">
    <w:name w:val="Date"/>
    <w:basedOn w:val="1"/>
    <w:next w:val="1"/>
    <w:link w:val="47"/>
    <w:autoRedefine/>
    <w:qFormat/>
    <w:uiPriority w:val="0"/>
    <w:rPr>
      <w:rFonts w:ascii="Arial" w:hAnsi="Arial" w:eastAsia="宋体" w:cs="Arial"/>
      <w:b/>
      <w:sz w:val="28"/>
    </w:rPr>
  </w:style>
  <w:style w:type="paragraph" w:styleId="16">
    <w:name w:val="Balloon Text"/>
    <w:basedOn w:val="1"/>
    <w:link w:val="34"/>
    <w:autoRedefine/>
    <w:semiHidden/>
    <w:unhideWhenUsed/>
    <w:qFormat/>
    <w:uiPriority w:val="99"/>
    <w:rPr>
      <w:sz w:val="18"/>
      <w:szCs w:val="18"/>
    </w:rPr>
  </w:style>
  <w:style w:type="paragraph" w:styleId="17">
    <w:name w:val="footer"/>
    <w:basedOn w:val="1"/>
    <w:link w:val="39"/>
    <w:autoRedefine/>
    <w:unhideWhenUsed/>
    <w:qFormat/>
    <w:uiPriority w:val="99"/>
    <w:pPr>
      <w:tabs>
        <w:tab w:val="center" w:pos="4153"/>
        <w:tab w:val="right" w:pos="8306"/>
      </w:tabs>
      <w:snapToGrid w:val="0"/>
      <w:jc w:val="left"/>
    </w:pPr>
    <w:rPr>
      <w:sz w:val="18"/>
      <w:szCs w:val="18"/>
    </w:rPr>
  </w:style>
  <w:style w:type="paragraph" w:styleId="18">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semiHidden/>
    <w:unhideWhenUsed/>
    <w:qFormat/>
    <w:uiPriority w:val="99"/>
    <w:pPr>
      <w:keepNext w:val="0"/>
      <w:keepLines w:val="0"/>
      <w:widowControl w:val="0"/>
      <w:suppressLineNumbers w:val="0"/>
      <w:ind w:left="420" w:hanging="420"/>
      <w:jc w:val="both"/>
    </w:pPr>
    <w:rPr>
      <w:rFonts w:hint="default" w:ascii="Arial" w:hAnsi="Arial" w:eastAsia="楷体_GB2312" w:cs="Times New Roman"/>
      <w:kern w:val="2"/>
      <w:sz w:val="28"/>
      <w:szCs w:val="28"/>
      <w:lang w:val="en-US" w:eastAsia="zh-CN" w:bidi="ar"/>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List 4"/>
    <w:basedOn w:val="1"/>
    <w:qFormat/>
    <w:uiPriority w:val="0"/>
    <w:pPr>
      <w:ind w:left="1680" w:hanging="420"/>
    </w:p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8"/>
    <w:next w:val="8"/>
    <w:link w:val="61"/>
    <w:autoRedefine/>
    <w:semiHidden/>
    <w:unhideWhenUsed/>
    <w:qFormat/>
    <w:uiPriority w:val="99"/>
    <w:rPr>
      <w:rFonts w:ascii="@仿宋_GB2312" w:hAnsi="@仿宋_GB2312" w:eastAsia="@仿宋_GB2312" w:cs="@仿宋_GB2312"/>
      <w:b/>
      <w:bCs/>
    </w:rPr>
  </w:style>
  <w:style w:type="paragraph" w:styleId="26">
    <w:name w:val="Body Text First Indent"/>
    <w:basedOn w:val="9"/>
    <w:autoRedefine/>
    <w:unhideWhenUsed/>
    <w:qFormat/>
    <w:uiPriority w:val="99"/>
    <w:pPr>
      <w:ind w:firstLine="420" w:firstLineChars="100"/>
    </w:pPr>
  </w:style>
  <w:style w:type="paragraph" w:styleId="27">
    <w:name w:val="Body Text First Indent 2"/>
    <w:basedOn w:val="10"/>
    <w:next w:val="9"/>
    <w:qFormat/>
    <w:uiPriority w:val="0"/>
    <w:pPr>
      <w:spacing w:line="360" w:lineRule="auto"/>
      <w:ind w:firstLine="200" w:firstLineChars="200"/>
    </w:pPr>
    <w:rPr>
      <w:rFonts w:ascii="宋体"/>
      <w:szCs w:val="20"/>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Hyperlink"/>
    <w:basedOn w:val="30"/>
    <w:autoRedefine/>
    <w:unhideWhenUsed/>
    <w:qFormat/>
    <w:uiPriority w:val="99"/>
    <w:rPr>
      <w:color w:val="0000FF" w:themeColor="hyperlink"/>
      <w:u w:val="single"/>
      <w14:textFill>
        <w14:solidFill>
          <w14:schemeClr w14:val="hlink"/>
        </w14:solidFill>
      </w14:textFill>
    </w:rPr>
  </w:style>
  <w:style w:type="character" w:styleId="33">
    <w:name w:val="annotation reference"/>
    <w:basedOn w:val="30"/>
    <w:autoRedefine/>
    <w:semiHidden/>
    <w:unhideWhenUsed/>
    <w:qFormat/>
    <w:uiPriority w:val="99"/>
    <w:rPr>
      <w:sz w:val="21"/>
      <w:szCs w:val="21"/>
    </w:rPr>
  </w:style>
  <w:style w:type="character" w:customStyle="1" w:styleId="34">
    <w:name w:val="批注框文本 Char"/>
    <w:basedOn w:val="30"/>
    <w:link w:val="16"/>
    <w:autoRedefine/>
    <w:semiHidden/>
    <w:qFormat/>
    <w:uiPriority w:val="99"/>
    <w:rPr>
      <w:rFonts w:ascii="@仿宋_GB2312" w:hAnsi="@仿宋_GB2312" w:eastAsia="@仿宋_GB2312" w:cs="@仿宋_GB2312"/>
      <w:sz w:val="18"/>
      <w:szCs w:val="18"/>
    </w:rPr>
  </w:style>
  <w:style w:type="paragraph" w:customStyle="1" w:styleId="35">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7">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8">
    <w:name w:val="页眉 Char"/>
    <w:basedOn w:val="30"/>
    <w:link w:val="18"/>
    <w:autoRedefine/>
    <w:qFormat/>
    <w:uiPriority w:val="99"/>
    <w:rPr>
      <w:rFonts w:ascii="@仿宋_GB2312" w:hAnsi="@仿宋_GB2312" w:eastAsia="@仿宋_GB2312" w:cs="@仿宋_GB2312"/>
      <w:sz w:val="18"/>
      <w:szCs w:val="18"/>
    </w:rPr>
  </w:style>
  <w:style w:type="character" w:customStyle="1" w:styleId="39">
    <w:name w:val="页脚 Char"/>
    <w:basedOn w:val="30"/>
    <w:link w:val="17"/>
    <w:autoRedefine/>
    <w:qFormat/>
    <w:uiPriority w:val="99"/>
    <w:rPr>
      <w:rFonts w:ascii="@仿宋_GB2312" w:hAnsi="@仿宋_GB2312" w:eastAsia="@仿宋_GB2312" w:cs="@仿宋_GB2312"/>
      <w:sz w:val="18"/>
      <w:szCs w:val="18"/>
    </w:rPr>
  </w:style>
  <w:style w:type="character" w:customStyle="1" w:styleId="40">
    <w:name w:val="纯文本 Char"/>
    <w:link w:val="14"/>
    <w:autoRedefine/>
    <w:qFormat/>
    <w:uiPriority w:val="0"/>
    <w:rPr>
      <w:rFonts w:ascii="宋体" w:hAnsi="Courier New"/>
    </w:rPr>
  </w:style>
  <w:style w:type="character" w:customStyle="1" w:styleId="41">
    <w:name w:val="纯文本 字符1"/>
    <w:basedOn w:val="30"/>
    <w:autoRedefine/>
    <w:semiHidden/>
    <w:qFormat/>
    <w:uiPriority w:val="99"/>
    <w:rPr>
      <w:rFonts w:hAnsi="Courier New" w:cs="Courier New" w:asciiTheme="minorEastAsia"/>
      <w:szCs w:val="20"/>
    </w:rPr>
  </w:style>
  <w:style w:type="character" w:customStyle="1" w:styleId="42">
    <w:name w:val="未处理的提及1"/>
    <w:basedOn w:val="30"/>
    <w:autoRedefine/>
    <w:semiHidden/>
    <w:unhideWhenUsed/>
    <w:qFormat/>
    <w:uiPriority w:val="99"/>
    <w:rPr>
      <w:color w:val="605E5C"/>
      <w:shd w:val="clear" w:color="auto" w:fill="E1DFDD"/>
    </w:rPr>
  </w:style>
  <w:style w:type="paragraph" w:styleId="43">
    <w:name w:val="List Paragraph"/>
    <w:basedOn w:val="1"/>
    <w:autoRedefine/>
    <w:qFormat/>
    <w:uiPriority w:val="34"/>
    <w:pPr>
      <w:ind w:firstLine="420" w:firstLineChars="200"/>
    </w:pPr>
  </w:style>
  <w:style w:type="paragraph" w:customStyle="1" w:styleId="44">
    <w:name w:val="Char Char Char Char Char Char Char1 Char"/>
    <w:basedOn w:val="1"/>
    <w:autoRedefine/>
    <w:qFormat/>
    <w:uiPriority w:val="0"/>
    <w:rPr>
      <w:rFonts w:ascii="Arial" w:hAnsi="Arial" w:eastAsia="宋体" w:cs="Arial"/>
      <w:sz w:val="24"/>
    </w:rPr>
  </w:style>
  <w:style w:type="table" w:customStyle="1" w:styleId="45">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6">
    <w:name w:val="日期 字符"/>
    <w:basedOn w:val="30"/>
    <w:autoRedefine/>
    <w:semiHidden/>
    <w:qFormat/>
    <w:uiPriority w:val="99"/>
    <w:rPr>
      <w:rFonts w:ascii="@仿宋_GB2312" w:hAnsi="@仿宋_GB2312" w:eastAsia="@仿宋_GB2312" w:cs="@仿宋_GB2312"/>
      <w:szCs w:val="20"/>
    </w:rPr>
  </w:style>
  <w:style w:type="character" w:customStyle="1" w:styleId="47">
    <w:name w:val="日期 Char"/>
    <w:link w:val="15"/>
    <w:autoRedefine/>
    <w:qFormat/>
    <w:uiPriority w:val="0"/>
    <w:rPr>
      <w:rFonts w:ascii="Arial" w:hAnsi="Arial" w:eastAsia="宋体" w:cs="Arial"/>
      <w:b/>
      <w:sz w:val="28"/>
      <w:szCs w:val="20"/>
    </w:rPr>
  </w:style>
  <w:style w:type="character" w:customStyle="1" w:styleId="48">
    <w:name w:val="纯文本 Char1"/>
    <w:autoRedefine/>
    <w:qFormat/>
    <w:locked/>
    <w:uiPriority w:val="99"/>
    <w:rPr>
      <w:rFonts w:ascii="Arial" w:hAnsi="Arial" w:eastAsia="Arial"/>
      <w:kern w:val="2"/>
      <w:sz w:val="21"/>
      <w:lang w:val="en-US" w:eastAsia="zh-CN" w:bidi="ar-SA"/>
    </w:rPr>
  </w:style>
  <w:style w:type="character" w:customStyle="1" w:styleId="49">
    <w:name w:val="批注文字 Char"/>
    <w:basedOn w:val="30"/>
    <w:autoRedefine/>
    <w:semiHidden/>
    <w:qFormat/>
    <w:uiPriority w:val="99"/>
    <w:rPr>
      <w:rFonts w:ascii="@仿宋_GB2312" w:hAnsi="@仿宋_GB2312" w:eastAsia="@仿宋_GB2312" w:cs="@仿宋_GB2312"/>
      <w:szCs w:val="20"/>
    </w:rPr>
  </w:style>
  <w:style w:type="character" w:customStyle="1" w:styleId="50">
    <w:name w:val="批注文字 Char1"/>
    <w:link w:val="8"/>
    <w:autoRedefine/>
    <w:qFormat/>
    <w:uiPriority w:val="0"/>
    <w:rPr>
      <w:rFonts w:ascii="Arial" w:hAnsi="Arial" w:eastAsia="黑体" w:cs="Arial"/>
      <w:szCs w:val="20"/>
    </w:rPr>
  </w:style>
  <w:style w:type="character" w:customStyle="1" w:styleId="51">
    <w:name w:val="标题 1 Char"/>
    <w:basedOn w:val="30"/>
    <w:link w:val="2"/>
    <w:autoRedefine/>
    <w:qFormat/>
    <w:uiPriority w:val="9"/>
    <w:rPr>
      <w:rFonts w:ascii="@仿宋_GB2312" w:hAnsi="@仿宋_GB2312" w:eastAsia="@仿宋_GB2312" w:cs="@仿宋_GB2312"/>
      <w:b/>
      <w:bCs/>
      <w:kern w:val="44"/>
      <w:sz w:val="44"/>
      <w:szCs w:val="44"/>
    </w:rPr>
  </w:style>
  <w:style w:type="paragraph" w:customStyle="1" w:styleId="5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标题 3 Char"/>
    <w:basedOn w:val="30"/>
    <w:link w:val="4"/>
    <w:autoRedefine/>
    <w:semiHidden/>
    <w:qFormat/>
    <w:uiPriority w:val="9"/>
    <w:rPr>
      <w:rFonts w:ascii="@仿宋_GB2312" w:hAnsi="@仿宋_GB2312" w:eastAsia="@仿宋_GB2312" w:cs="@仿宋_GB2312"/>
      <w:b/>
      <w:bCs/>
      <w:sz w:val="32"/>
      <w:szCs w:val="32"/>
    </w:rPr>
  </w:style>
  <w:style w:type="character" w:customStyle="1" w:styleId="54">
    <w:name w:val="fontstyle01"/>
    <w:basedOn w:val="30"/>
    <w:autoRedefine/>
    <w:qFormat/>
    <w:uiPriority w:val="0"/>
    <w:rPr>
      <w:rFonts w:hint="eastAsia" w:ascii="宋体" w:hAnsi="宋体" w:eastAsia="宋体"/>
      <w:color w:val="000000"/>
      <w:sz w:val="22"/>
      <w:szCs w:val="22"/>
    </w:rPr>
  </w:style>
  <w:style w:type="character" w:customStyle="1" w:styleId="55">
    <w:name w:val="fontstyle21"/>
    <w:basedOn w:val="30"/>
    <w:autoRedefine/>
    <w:qFormat/>
    <w:uiPriority w:val="0"/>
    <w:rPr>
      <w:rFonts w:hint="default" w:ascii="TimesNewRomanPSMT" w:hAnsi="TimesNewRomanPSMT"/>
      <w:color w:val="000000"/>
      <w:sz w:val="22"/>
      <w:szCs w:val="22"/>
    </w:rPr>
  </w:style>
  <w:style w:type="character" w:customStyle="1" w:styleId="5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7">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58">
    <w:name w:val="标题 4 Char1"/>
    <w:link w:val="5"/>
    <w:autoRedefine/>
    <w:qFormat/>
    <w:uiPriority w:val="0"/>
    <w:rPr>
      <w:rFonts w:ascii="@仿宋_GB2312" w:hAnsi="@仿宋_GB2312" w:eastAsia="@仿宋_GB2312" w:cs="@仿宋_GB2312"/>
      <w:b/>
      <w:bCs/>
      <w:sz w:val="28"/>
      <w:szCs w:val="28"/>
    </w:rPr>
  </w:style>
  <w:style w:type="character" w:customStyle="1" w:styleId="59">
    <w:name w:val="标题 4 Char"/>
    <w:autoRedefine/>
    <w:qFormat/>
    <w:uiPriority w:val="0"/>
    <w:rPr>
      <w:rFonts w:ascii="Arial" w:hAnsi="Arial" w:eastAsia="Arial"/>
      <w:b/>
      <w:bCs/>
      <w:kern w:val="2"/>
      <w:sz w:val="28"/>
      <w:szCs w:val="28"/>
      <w:lang w:val="en-US" w:eastAsia="zh-CN" w:bidi="ar-SA"/>
    </w:rPr>
  </w:style>
  <w:style w:type="table" w:customStyle="1" w:styleId="60">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批注主题 Char"/>
    <w:basedOn w:val="50"/>
    <w:link w:val="25"/>
    <w:autoRedefine/>
    <w:semiHidden/>
    <w:qFormat/>
    <w:uiPriority w:val="99"/>
    <w:rPr>
      <w:rFonts w:ascii="@仿宋_GB2312" w:hAnsi="@仿宋_GB2312" w:eastAsia="@仿宋_GB2312" w:cs="@仿宋_GB2312"/>
      <w:b/>
      <w:bCs/>
      <w:szCs w:val="20"/>
    </w:rPr>
  </w:style>
  <w:style w:type="table" w:customStyle="1" w:styleId="62">
    <w:name w:val="Table Normal"/>
    <w:autoRedefine/>
    <w:semiHidden/>
    <w:unhideWhenUsed/>
    <w:qFormat/>
    <w:uiPriority w:val="0"/>
    <w:tblPr>
      <w:tblCellMar>
        <w:top w:w="0" w:type="dxa"/>
        <w:left w:w="0" w:type="dxa"/>
        <w:bottom w:w="0" w:type="dxa"/>
        <w:right w:w="0" w:type="dxa"/>
      </w:tblCellMar>
    </w:tblPr>
  </w:style>
  <w:style w:type="paragraph" w:customStyle="1" w:styleId="63">
    <w:name w:val="Table Text"/>
    <w:basedOn w:val="1"/>
    <w:autoRedefine/>
    <w:semiHidden/>
    <w:qFormat/>
    <w:uiPriority w:val="0"/>
    <w:rPr>
      <w:rFonts w:ascii="Arial" w:hAnsi="Arial" w:eastAsia="Arial" w:cs="Arial"/>
      <w:sz w:val="21"/>
      <w:szCs w:val="21"/>
      <w:lang w:val="en-US" w:eastAsia="en-US" w:bidi="ar-SA"/>
    </w:rPr>
  </w:style>
  <w:style w:type="paragraph" w:customStyle="1" w:styleId="64">
    <w:name w:val="自动更正"/>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65">
    <w:name w:val="文"/>
    <w:basedOn w:val="1"/>
    <w:qFormat/>
    <w:uiPriority w:val="0"/>
    <w:pPr>
      <w:spacing w:line="360" w:lineRule="auto"/>
      <w:ind w:firstLine="480"/>
    </w:pPr>
    <w:rPr>
      <w:rFonts w:ascii="宋体" w:hAnsi="宋体" w:eastAsia="宋体" w:cs="Times New Roman"/>
      <w:kern w:val="2"/>
      <w:sz w:val="24"/>
      <w:szCs w:val="22"/>
      <w:lang w:val="en-US" w:eastAsia="zh-CN" w:bidi="ar-SA"/>
    </w:rPr>
  </w:style>
  <w:style w:type="character" w:customStyle="1" w:styleId="66">
    <w:name w:val="NormalCharacter"/>
    <w:semiHidden/>
    <w:qFormat/>
    <w:uiPriority w:val="0"/>
  </w:style>
  <w:style w:type="paragraph" w:customStyle="1" w:styleId="6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Table Paragraph"/>
    <w:basedOn w:val="1"/>
    <w:next w:val="22"/>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1591</Words>
  <Characters>1735</Characters>
  <Lines>1</Lines>
  <Paragraphs>1</Paragraphs>
  <TotalTime>14</TotalTime>
  <ScaleCrop>false</ScaleCrop>
  <LinksUpToDate>false</LinksUpToDate>
  <CharactersWithSpaces>1832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吕倩</cp:lastModifiedBy>
  <cp:lastPrinted>2024-11-11T01:30:00Z</cp:lastPrinted>
  <dcterms:modified xsi:type="dcterms:W3CDTF">2024-12-03T01:52:49Z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E2CB43990C3245AE9702FCCA8AB38461_13</vt:lpwstr>
  </property>
</Properties>
</file>